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C3893" w14:textId="77777777" w:rsidR="00B357C6" w:rsidRPr="00141096" w:rsidRDefault="00000000">
      <w:pPr>
        <w:pBdr>
          <w:bottom w:val="single" w:sz="6" w:space="1" w:color="0D2B5E"/>
        </w:pBdr>
        <w:spacing w:after="120"/>
        <w:jc w:val="center"/>
        <w:rPr>
          <w:lang w:val="en-US"/>
        </w:rPr>
      </w:pPr>
      <w:r w:rsidRPr="00141096">
        <w:rPr>
          <w:b/>
          <w:bCs/>
          <w:color w:val="0D2B5E"/>
          <w:sz w:val="36"/>
          <w:szCs w:val="36"/>
          <w:lang w:val="en-US"/>
        </w:rPr>
        <w:t>DPO Agent</w:t>
      </w:r>
    </w:p>
    <w:p w14:paraId="1B534070" w14:textId="77777777" w:rsidR="00B357C6" w:rsidRPr="00141096" w:rsidRDefault="00000000">
      <w:pPr>
        <w:spacing w:before="80" w:after="60"/>
        <w:jc w:val="center"/>
        <w:rPr>
          <w:lang w:val="en-US"/>
        </w:rPr>
      </w:pPr>
      <w:r w:rsidRPr="00141096">
        <w:rPr>
          <w:b/>
          <w:bCs/>
          <w:color w:val="0D2B5E"/>
          <w:sz w:val="28"/>
          <w:szCs w:val="28"/>
          <w:lang w:val="en-US"/>
        </w:rPr>
        <w:t>Risk Analysis</w:t>
      </w:r>
    </w:p>
    <w:p w14:paraId="63DBC4C7" w14:textId="77777777" w:rsidR="00B357C6" w:rsidRPr="00141096" w:rsidRDefault="00000000">
      <w:pPr>
        <w:spacing w:after="480"/>
        <w:jc w:val="center"/>
        <w:rPr>
          <w:lang w:val="en-US"/>
        </w:rPr>
      </w:pPr>
      <w:r w:rsidRPr="00141096">
        <w:rPr>
          <w:i/>
          <w:iCs/>
          <w:color w:val="6B7280"/>
          <w:sz w:val="18"/>
          <w:szCs w:val="18"/>
          <w:lang w:val="en-US"/>
        </w:rPr>
        <w:t>DPO Agent — Service Risk Assessment · Version 1.0 · June 2026</w:t>
      </w:r>
    </w:p>
    <w:p w14:paraId="0118FA10" w14:textId="77777777" w:rsidR="00B357C6" w:rsidRPr="00141096" w:rsidRDefault="00B357C6">
      <w:pPr>
        <w:pBdr>
          <w:bottom w:val="single" w:sz="2" w:space="1" w:color="E5E7EB"/>
        </w:pBdr>
        <w:spacing w:before="200" w:after="200"/>
        <w:rPr>
          <w:lang w:val="en-US"/>
        </w:rPr>
      </w:pPr>
    </w:p>
    <w:p w14:paraId="363DDD47" w14:textId="77777777" w:rsidR="00B357C6" w:rsidRPr="00141096" w:rsidRDefault="00000000">
      <w:pPr>
        <w:pStyle w:val="Heading1"/>
        <w:rPr>
          <w:lang w:val="en-US"/>
        </w:rPr>
      </w:pPr>
      <w:r w:rsidRPr="00141096">
        <w:rPr>
          <w:lang w:val="en-US"/>
        </w:rPr>
        <w:t>1. Purpose and Scope</w:t>
      </w:r>
    </w:p>
    <w:p w14:paraId="7E5EBFBC" w14:textId="77777777" w:rsidR="00B357C6" w:rsidRPr="00141096" w:rsidRDefault="00000000">
      <w:pPr>
        <w:spacing w:before="80" w:after="80"/>
        <w:rPr>
          <w:lang w:val="en-US"/>
        </w:rPr>
      </w:pPr>
      <w:r w:rsidRPr="00141096">
        <w:rPr>
          <w:color w:val="374151"/>
          <w:lang w:val="en-US"/>
        </w:rPr>
        <w:t>This risk analysis assesses the risks associated with the use of DPO Agent — an AI-powered legal guidance service for Data Protection Officers and compliance professionals. The analysis covers risks to data subjects, risks to customers as data controllers, and operational risks to the service itself.</w:t>
      </w:r>
    </w:p>
    <w:p w14:paraId="13EE9DE3" w14:textId="77777777" w:rsidR="00B357C6" w:rsidRPr="00141096" w:rsidRDefault="00B357C6">
      <w:pPr>
        <w:spacing w:before="80" w:after="80"/>
        <w:rPr>
          <w:lang w:val="en-U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026"/>
      </w:tblGrid>
      <w:tr w:rsidR="00B357C6" w14:paraId="47F499EC"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E6F1FB"/>
            <w:tcMar>
              <w:top w:w="80" w:type="dxa"/>
              <w:left w:w="120" w:type="dxa"/>
              <w:bottom w:w="80" w:type="dxa"/>
              <w:right w:w="120" w:type="dxa"/>
            </w:tcMar>
          </w:tcPr>
          <w:p w14:paraId="442BDA6B" w14:textId="77777777" w:rsidR="00B357C6" w:rsidRDefault="00000000">
            <w:r>
              <w:rPr>
                <w:b/>
                <w:bCs/>
                <w:color w:val="0D2B5E"/>
                <w:sz w:val="20"/>
                <w:szCs w:val="20"/>
              </w:rPr>
              <w:t>Document type</w:t>
            </w:r>
          </w:p>
        </w:tc>
        <w:tc>
          <w:tcPr>
            <w:tcW w:w="60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1670340" w14:textId="77777777" w:rsidR="00B357C6" w:rsidRDefault="00000000">
            <w:r>
              <w:rPr>
                <w:color w:val="374151"/>
                <w:sz w:val="20"/>
                <w:szCs w:val="20"/>
              </w:rPr>
              <w:t>Risk Analysis</w:t>
            </w:r>
          </w:p>
        </w:tc>
      </w:tr>
      <w:tr w:rsidR="00B357C6" w:rsidRPr="00141096" w14:paraId="182D6C4F"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E6F1FB"/>
            <w:tcMar>
              <w:top w:w="80" w:type="dxa"/>
              <w:left w:w="120" w:type="dxa"/>
              <w:bottom w:w="80" w:type="dxa"/>
              <w:right w:w="120" w:type="dxa"/>
            </w:tcMar>
          </w:tcPr>
          <w:p w14:paraId="0DC1CD40" w14:textId="77777777" w:rsidR="00B357C6" w:rsidRDefault="00000000">
            <w:r>
              <w:rPr>
                <w:b/>
                <w:bCs/>
                <w:color w:val="0D2B5E"/>
                <w:sz w:val="20"/>
                <w:szCs w:val="20"/>
              </w:rPr>
              <w:t>Service</w:t>
            </w:r>
          </w:p>
        </w:tc>
        <w:tc>
          <w:tcPr>
            <w:tcW w:w="60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EEBD3E9" w14:textId="77777777" w:rsidR="00B357C6" w:rsidRPr="00141096" w:rsidRDefault="00000000">
            <w:pPr>
              <w:rPr>
                <w:lang w:val="en-US"/>
              </w:rPr>
            </w:pPr>
            <w:r w:rsidRPr="00141096">
              <w:rPr>
                <w:color w:val="374151"/>
                <w:sz w:val="20"/>
                <w:szCs w:val="20"/>
                <w:lang w:val="en-US"/>
              </w:rPr>
              <w:t>DPO Agent — AI-powered DPO guidance</w:t>
            </w:r>
          </w:p>
        </w:tc>
      </w:tr>
      <w:tr w:rsidR="00B357C6" w14:paraId="5684A740"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E6F1FB"/>
            <w:tcMar>
              <w:top w:w="80" w:type="dxa"/>
              <w:left w:w="120" w:type="dxa"/>
              <w:bottom w:w="80" w:type="dxa"/>
              <w:right w:w="120" w:type="dxa"/>
            </w:tcMar>
          </w:tcPr>
          <w:p w14:paraId="21A0E44C" w14:textId="77777777" w:rsidR="00B357C6" w:rsidRDefault="00000000">
            <w:r>
              <w:rPr>
                <w:b/>
                <w:bCs/>
                <w:color w:val="0D2B5E"/>
                <w:sz w:val="20"/>
                <w:szCs w:val="20"/>
              </w:rPr>
              <w:t>Controller</w:t>
            </w:r>
          </w:p>
        </w:tc>
        <w:tc>
          <w:tcPr>
            <w:tcW w:w="60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4630A08" w14:textId="77777777" w:rsidR="00B357C6" w:rsidRDefault="00000000">
            <w:r>
              <w:rPr>
                <w:color w:val="374151"/>
                <w:sz w:val="20"/>
                <w:szCs w:val="20"/>
              </w:rPr>
              <w:t>DPO Agent ApS, Damgårdsvej 39, 3460 Birkerød, Denmark</w:t>
            </w:r>
          </w:p>
        </w:tc>
      </w:tr>
      <w:tr w:rsidR="00B357C6" w14:paraId="60E7890D"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E6F1FB"/>
            <w:tcMar>
              <w:top w:w="80" w:type="dxa"/>
              <w:left w:w="120" w:type="dxa"/>
              <w:bottom w:w="80" w:type="dxa"/>
              <w:right w:w="120" w:type="dxa"/>
            </w:tcMar>
          </w:tcPr>
          <w:p w14:paraId="3A1133FE" w14:textId="77777777" w:rsidR="00B357C6" w:rsidRDefault="00000000">
            <w:r>
              <w:rPr>
                <w:b/>
                <w:bCs/>
                <w:color w:val="0D2B5E"/>
                <w:sz w:val="20"/>
                <w:szCs w:val="20"/>
              </w:rPr>
              <w:t>Date</w:t>
            </w:r>
          </w:p>
        </w:tc>
        <w:tc>
          <w:tcPr>
            <w:tcW w:w="60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10466C6" w14:textId="77777777" w:rsidR="00B357C6" w:rsidRDefault="00000000">
            <w:r>
              <w:rPr>
                <w:color w:val="374151"/>
                <w:sz w:val="20"/>
                <w:szCs w:val="20"/>
              </w:rPr>
              <w:t>June 2026</w:t>
            </w:r>
          </w:p>
        </w:tc>
      </w:tr>
      <w:tr w:rsidR="00B357C6" w14:paraId="55E33974"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E6F1FB"/>
            <w:tcMar>
              <w:top w:w="80" w:type="dxa"/>
              <w:left w:w="120" w:type="dxa"/>
              <w:bottom w:w="80" w:type="dxa"/>
              <w:right w:w="120" w:type="dxa"/>
            </w:tcMar>
          </w:tcPr>
          <w:p w14:paraId="2D81B0BC" w14:textId="77777777" w:rsidR="00B357C6" w:rsidRDefault="00000000">
            <w:r>
              <w:rPr>
                <w:b/>
                <w:bCs/>
                <w:color w:val="0D2B5E"/>
                <w:sz w:val="20"/>
                <w:szCs w:val="20"/>
              </w:rPr>
              <w:t>Version</w:t>
            </w:r>
          </w:p>
        </w:tc>
        <w:tc>
          <w:tcPr>
            <w:tcW w:w="60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365DD2F" w14:textId="77777777" w:rsidR="00B357C6" w:rsidRDefault="00000000">
            <w:r>
              <w:rPr>
                <w:color w:val="374151"/>
                <w:sz w:val="20"/>
                <w:szCs w:val="20"/>
              </w:rPr>
              <w:t>1.0</w:t>
            </w:r>
          </w:p>
        </w:tc>
      </w:tr>
      <w:tr w:rsidR="00B357C6" w14:paraId="4B423065"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E6F1FB"/>
            <w:tcMar>
              <w:top w:w="80" w:type="dxa"/>
              <w:left w:w="120" w:type="dxa"/>
              <w:bottom w:w="80" w:type="dxa"/>
              <w:right w:w="120" w:type="dxa"/>
            </w:tcMar>
          </w:tcPr>
          <w:p w14:paraId="091FE7C4" w14:textId="77777777" w:rsidR="00B357C6" w:rsidRDefault="00000000">
            <w:r>
              <w:rPr>
                <w:b/>
                <w:bCs/>
                <w:color w:val="0D2B5E"/>
                <w:sz w:val="20"/>
                <w:szCs w:val="20"/>
              </w:rPr>
              <w:t>Author</w:t>
            </w:r>
          </w:p>
        </w:tc>
        <w:tc>
          <w:tcPr>
            <w:tcW w:w="60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80B0EC4" w14:textId="77777777" w:rsidR="00B357C6" w:rsidRDefault="00000000">
            <w:r>
              <w:rPr>
                <w:color w:val="374151"/>
                <w:sz w:val="20"/>
                <w:szCs w:val="20"/>
              </w:rPr>
              <w:t xml:space="preserve">Janick Navne, </w:t>
            </w:r>
            <w:proofErr w:type="spellStart"/>
            <w:r>
              <w:rPr>
                <w:color w:val="374151"/>
                <w:sz w:val="20"/>
                <w:szCs w:val="20"/>
              </w:rPr>
              <w:t>Founder</w:t>
            </w:r>
            <w:proofErr w:type="spellEnd"/>
          </w:p>
        </w:tc>
      </w:tr>
      <w:tr w:rsidR="00B357C6" w:rsidRPr="00141096" w14:paraId="015E3BE3"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E6F1FB"/>
            <w:tcMar>
              <w:top w:w="80" w:type="dxa"/>
              <w:left w:w="120" w:type="dxa"/>
              <w:bottom w:w="80" w:type="dxa"/>
              <w:right w:w="120" w:type="dxa"/>
            </w:tcMar>
          </w:tcPr>
          <w:p w14:paraId="45477F90" w14:textId="77777777" w:rsidR="00B357C6" w:rsidRDefault="00000000">
            <w:r>
              <w:rPr>
                <w:b/>
                <w:bCs/>
                <w:color w:val="0D2B5E"/>
                <w:sz w:val="20"/>
                <w:szCs w:val="20"/>
              </w:rPr>
              <w:t xml:space="preserve">Review </w:t>
            </w:r>
            <w:proofErr w:type="spellStart"/>
            <w:r>
              <w:rPr>
                <w:b/>
                <w:bCs/>
                <w:color w:val="0D2B5E"/>
                <w:sz w:val="20"/>
                <w:szCs w:val="20"/>
              </w:rPr>
              <w:t>cycle</w:t>
            </w:r>
            <w:proofErr w:type="spellEnd"/>
          </w:p>
        </w:tc>
        <w:tc>
          <w:tcPr>
            <w:tcW w:w="60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2F58E3A" w14:textId="77777777" w:rsidR="00B357C6" w:rsidRPr="00141096" w:rsidRDefault="00000000">
            <w:pPr>
              <w:rPr>
                <w:lang w:val="en-US"/>
              </w:rPr>
            </w:pPr>
            <w:r w:rsidRPr="00141096">
              <w:rPr>
                <w:color w:val="374151"/>
                <w:sz w:val="20"/>
                <w:szCs w:val="20"/>
                <w:lang w:val="en-US"/>
              </w:rPr>
              <w:t>Annual or upon significant change to the service</w:t>
            </w:r>
          </w:p>
        </w:tc>
      </w:tr>
    </w:tbl>
    <w:p w14:paraId="172C2DC3" w14:textId="77777777" w:rsidR="00B357C6" w:rsidRPr="00141096" w:rsidRDefault="00B357C6">
      <w:pPr>
        <w:spacing w:before="80" w:after="80"/>
        <w:rPr>
          <w:lang w:val="en-US"/>
        </w:rPr>
      </w:pPr>
    </w:p>
    <w:p w14:paraId="14E45175" w14:textId="77777777" w:rsidR="00B357C6" w:rsidRPr="00141096" w:rsidRDefault="00B357C6">
      <w:pPr>
        <w:pBdr>
          <w:bottom w:val="single" w:sz="2" w:space="1" w:color="E5E7EB"/>
        </w:pBdr>
        <w:spacing w:before="200" w:after="200"/>
        <w:rPr>
          <w:lang w:val="en-US"/>
        </w:rPr>
      </w:pPr>
    </w:p>
    <w:p w14:paraId="1615BCA7" w14:textId="77777777" w:rsidR="00B357C6" w:rsidRPr="00141096" w:rsidRDefault="00000000">
      <w:pPr>
        <w:pStyle w:val="Heading1"/>
        <w:rPr>
          <w:lang w:val="en-US"/>
        </w:rPr>
      </w:pPr>
      <w:r w:rsidRPr="00141096">
        <w:rPr>
          <w:lang w:val="en-US"/>
        </w:rPr>
        <w:t>2. Service Description</w:t>
      </w:r>
    </w:p>
    <w:p w14:paraId="5AF304E8" w14:textId="77777777" w:rsidR="00B357C6" w:rsidRPr="00141096" w:rsidRDefault="00000000">
      <w:pPr>
        <w:spacing w:before="80" w:after="80"/>
        <w:rPr>
          <w:lang w:val="en-US"/>
        </w:rPr>
      </w:pPr>
      <w:r w:rsidRPr="00141096">
        <w:rPr>
          <w:color w:val="374151"/>
          <w:lang w:val="en-US"/>
        </w:rPr>
        <w:t>DPO Agent is a web-based SaaS tool that provides AI-powered legal guidance on GDPR, Danish data protection law, the EU AI Act, NIS2, and related legislation. Users submit questions through a chat interface. The system retrieves relevant excerpts from a curated knowledge base of validated legal sources and uses GPT-4o to generate a cited, source-grounded response.</w:t>
      </w:r>
    </w:p>
    <w:p w14:paraId="38101D3F" w14:textId="77777777" w:rsidR="00B357C6" w:rsidRPr="00141096" w:rsidRDefault="00B357C6">
      <w:pPr>
        <w:spacing w:before="80" w:after="80"/>
        <w:rPr>
          <w:lang w:val="en-US"/>
        </w:rPr>
      </w:pPr>
    </w:p>
    <w:p w14:paraId="5D3EDDB1" w14:textId="77777777" w:rsidR="00B357C6" w:rsidRDefault="00000000">
      <w:pPr>
        <w:pStyle w:val="Heading2"/>
      </w:pPr>
      <w:r>
        <w:t>2.1 Data flows</w:t>
      </w:r>
    </w:p>
    <w:p w14:paraId="4FCBA70B" w14:textId="77777777" w:rsidR="00B357C6" w:rsidRPr="00141096" w:rsidRDefault="00000000">
      <w:pPr>
        <w:pStyle w:val="ListParagraph"/>
        <w:numPr>
          <w:ilvl w:val="0"/>
          <w:numId w:val="2"/>
        </w:numPr>
        <w:spacing w:before="40" w:after="40"/>
        <w:rPr>
          <w:lang w:val="en-US"/>
        </w:rPr>
      </w:pPr>
      <w:r w:rsidRPr="00141096">
        <w:rPr>
          <w:color w:val="374151"/>
          <w:lang w:val="en-US"/>
        </w:rPr>
        <w:t>User submits a question (natural language text) via the chat interface</w:t>
      </w:r>
    </w:p>
    <w:p w14:paraId="52D41F5F" w14:textId="77777777" w:rsidR="00B357C6" w:rsidRPr="00141096" w:rsidRDefault="00000000">
      <w:pPr>
        <w:pStyle w:val="ListParagraph"/>
        <w:numPr>
          <w:ilvl w:val="0"/>
          <w:numId w:val="2"/>
        </w:numPr>
        <w:spacing w:before="40" w:after="40"/>
        <w:rPr>
          <w:lang w:val="en-US"/>
        </w:rPr>
      </w:pPr>
      <w:r w:rsidRPr="00141096">
        <w:rPr>
          <w:color w:val="374151"/>
          <w:lang w:val="en-US"/>
        </w:rPr>
        <w:t>The question is translated to Danish and English via GPT-4o translation calls</w:t>
      </w:r>
    </w:p>
    <w:p w14:paraId="2EC45934" w14:textId="77777777" w:rsidR="00B357C6" w:rsidRPr="00141096" w:rsidRDefault="00000000">
      <w:pPr>
        <w:pStyle w:val="ListParagraph"/>
        <w:numPr>
          <w:ilvl w:val="0"/>
          <w:numId w:val="2"/>
        </w:numPr>
        <w:spacing w:before="40" w:after="40"/>
        <w:rPr>
          <w:lang w:val="en-US"/>
        </w:rPr>
      </w:pPr>
      <w:r w:rsidRPr="00141096">
        <w:rPr>
          <w:color w:val="374151"/>
          <w:lang w:val="en-US"/>
        </w:rPr>
        <w:t>Both translated queries are sent to Azure AI Search — no user data is stored in search</w:t>
      </w:r>
    </w:p>
    <w:p w14:paraId="3D9EE3A0" w14:textId="77777777" w:rsidR="00B357C6" w:rsidRPr="00141096" w:rsidRDefault="00000000">
      <w:pPr>
        <w:pStyle w:val="ListParagraph"/>
        <w:numPr>
          <w:ilvl w:val="0"/>
          <w:numId w:val="2"/>
        </w:numPr>
        <w:spacing w:before="40" w:after="40"/>
        <w:rPr>
          <w:lang w:val="en-US"/>
        </w:rPr>
      </w:pPr>
      <w:r w:rsidRPr="00141096">
        <w:rPr>
          <w:color w:val="374151"/>
          <w:lang w:val="en-US"/>
        </w:rPr>
        <w:t>Relevant excerpts from the knowledge base are retrieved and injected into the GPT-4o prompt</w:t>
      </w:r>
    </w:p>
    <w:p w14:paraId="138F52C2" w14:textId="77777777" w:rsidR="00B357C6" w:rsidRPr="00141096" w:rsidRDefault="00000000">
      <w:pPr>
        <w:pStyle w:val="ListParagraph"/>
        <w:numPr>
          <w:ilvl w:val="0"/>
          <w:numId w:val="2"/>
        </w:numPr>
        <w:spacing w:before="40" w:after="40"/>
        <w:rPr>
          <w:lang w:val="en-US"/>
        </w:rPr>
      </w:pPr>
      <w:r w:rsidRPr="00141096">
        <w:rPr>
          <w:color w:val="374151"/>
          <w:lang w:val="en-US"/>
        </w:rPr>
        <w:t>GPT-4o generates a response — no conversation data is retained after the response</w:t>
      </w:r>
    </w:p>
    <w:p w14:paraId="7C66A9F3" w14:textId="77777777" w:rsidR="00B357C6" w:rsidRPr="00141096" w:rsidRDefault="00000000">
      <w:pPr>
        <w:pStyle w:val="ListParagraph"/>
        <w:numPr>
          <w:ilvl w:val="0"/>
          <w:numId w:val="2"/>
        </w:numPr>
        <w:spacing w:before="40" w:after="40"/>
        <w:rPr>
          <w:lang w:val="en-US"/>
        </w:rPr>
      </w:pPr>
      <w:r w:rsidRPr="00141096">
        <w:rPr>
          <w:color w:val="374151"/>
          <w:lang w:val="en-US"/>
        </w:rPr>
        <w:t>The response is returned to the user and displayed in the interface</w:t>
      </w:r>
    </w:p>
    <w:p w14:paraId="0992C871" w14:textId="77777777" w:rsidR="00B357C6" w:rsidRDefault="00B357C6">
      <w:pPr>
        <w:spacing w:before="80" w:after="80"/>
        <w:rPr>
          <w:lang w:val="en-US"/>
        </w:rPr>
      </w:pPr>
    </w:p>
    <w:p w14:paraId="13A461A8" w14:textId="77777777" w:rsidR="00141096" w:rsidRPr="00141096" w:rsidRDefault="00141096">
      <w:pPr>
        <w:spacing w:before="80" w:after="80"/>
        <w:rPr>
          <w:lang w:val="en-US"/>
        </w:rPr>
      </w:pPr>
    </w:p>
    <w:p w14:paraId="5F203F96" w14:textId="77777777" w:rsidR="00B357C6" w:rsidRPr="00141096" w:rsidRDefault="00000000">
      <w:pPr>
        <w:pStyle w:val="Heading2"/>
        <w:rPr>
          <w:lang w:val="en-US"/>
        </w:rPr>
      </w:pPr>
      <w:r w:rsidRPr="00141096">
        <w:rPr>
          <w:lang w:val="en-US"/>
        </w:rPr>
        <w:lastRenderedPageBreak/>
        <w:t>2.2 Personal data processed</w:t>
      </w:r>
    </w:p>
    <w:p w14:paraId="73344198" w14:textId="77777777" w:rsidR="00B357C6" w:rsidRPr="00141096" w:rsidRDefault="00000000">
      <w:pPr>
        <w:spacing w:before="80" w:after="80"/>
        <w:rPr>
          <w:lang w:val="en-US"/>
        </w:rPr>
      </w:pPr>
      <w:r w:rsidRPr="00141096">
        <w:rPr>
          <w:color w:val="374151"/>
          <w:lang w:val="en-US"/>
        </w:rPr>
        <w:t>DPO Agent processes minimal personal data. The primary data processed is:</w:t>
      </w:r>
    </w:p>
    <w:p w14:paraId="36C557D6" w14:textId="77777777" w:rsidR="00B357C6" w:rsidRPr="00141096" w:rsidRDefault="00000000">
      <w:pPr>
        <w:pStyle w:val="ListParagraph"/>
        <w:numPr>
          <w:ilvl w:val="0"/>
          <w:numId w:val="2"/>
        </w:numPr>
        <w:spacing w:before="40" w:after="40"/>
        <w:rPr>
          <w:lang w:val="en-US"/>
        </w:rPr>
      </w:pPr>
      <w:r w:rsidRPr="00141096">
        <w:rPr>
          <w:color w:val="374151"/>
          <w:lang w:val="en-US"/>
        </w:rPr>
        <w:t>User questions — may incidentally contain personal data if the user includes it in their scenario description</w:t>
      </w:r>
    </w:p>
    <w:p w14:paraId="4BC76AB5" w14:textId="77777777" w:rsidR="00B357C6" w:rsidRPr="00141096" w:rsidRDefault="00000000">
      <w:pPr>
        <w:pStyle w:val="ListParagraph"/>
        <w:numPr>
          <w:ilvl w:val="0"/>
          <w:numId w:val="2"/>
        </w:numPr>
        <w:spacing w:before="40" w:after="40"/>
        <w:rPr>
          <w:lang w:val="en-US"/>
        </w:rPr>
      </w:pPr>
      <w:r w:rsidRPr="00141096">
        <w:rPr>
          <w:color w:val="374151"/>
          <w:lang w:val="en-US"/>
        </w:rPr>
        <w:t>Microsoft account identity — used for authentication via Entra ID (name and email)</w:t>
      </w:r>
    </w:p>
    <w:p w14:paraId="3C5583E9" w14:textId="77777777" w:rsidR="00B357C6" w:rsidRPr="00141096" w:rsidRDefault="00000000">
      <w:pPr>
        <w:pStyle w:val="ListParagraph"/>
        <w:numPr>
          <w:ilvl w:val="0"/>
          <w:numId w:val="2"/>
        </w:numPr>
        <w:spacing w:before="40" w:after="40"/>
        <w:rPr>
          <w:lang w:val="en-US"/>
        </w:rPr>
      </w:pPr>
      <w:r w:rsidRPr="00141096">
        <w:rPr>
          <w:color w:val="374151"/>
          <w:lang w:val="en-US"/>
        </w:rPr>
        <w:t>Contact form submissions — name, email, company, message</w:t>
      </w:r>
    </w:p>
    <w:p w14:paraId="37B25989" w14:textId="77777777" w:rsidR="00B357C6" w:rsidRPr="00141096" w:rsidRDefault="00B357C6">
      <w:pPr>
        <w:spacing w:before="80" w:after="80"/>
        <w:rPr>
          <w:lang w:val="en-US"/>
        </w:rPr>
      </w:pPr>
    </w:p>
    <w:p w14:paraId="5021B915" w14:textId="35272E38" w:rsidR="00B357C6" w:rsidRPr="00141096" w:rsidRDefault="00000000">
      <w:pPr>
        <w:spacing w:before="80" w:after="80"/>
        <w:rPr>
          <w:lang w:val="en-US"/>
        </w:rPr>
      </w:pPr>
      <w:r w:rsidRPr="00141096">
        <w:rPr>
          <w:color w:val="374151"/>
          <w:lang w:val="en-US"/>
        </w:rPr>
        <w:t>DPO Agent does NOT process personal data on behalf of customers' data subjects.</w:t>
      </w:r>
    </w:p>
    <w:p w14:paraId="38C62C14" w14:textId="77777777" w:rsidR="00B357C6" w:rsidRPr="00141096" w:rsidRDefault="00B357C6">
      <w:pPr>
        <w:spacing w:before="80" w:after="80"/>
        <w:rPr>
          <w:lang w:val="en-US"/>
        </w:rPr>
      </w:pPr>
    </w:p>
    <w:p w14:paraId="2595BFC1" w14:textId="77777777" w:rsidR="00B357C6" w:rsidRPr="00141096" w:rsidRDefault="00B357C6">
      <w:pPr>
        <w:pBdr>
          <w:bottom w:val="single" w:sz="2" w:space="1" w:color="E5E7EB"/>
        </w:pBdr>
        <w:spacing w:before="200" w:after="200"/>
        <w:rPr>
          <w:lang w:val="en-US"/>
        </w:rPr>
      </w:pPr>
    </w:p>
    <w:p w14:paraId="7CEA0356" w14:textId="77777777" w:rsidR="00B357C6" w:rsidRPr="00141096" w:rsidRDefault="00000000">
      <w:pPr>
        <w:pStyle w:val="Heading1"/>
        <w:rPr>
          <w:lang w:val="en-US"/>
        </w:rPr>
      </w:pPr>
      <w:r w:rsidRPr="00141096">
        <w:rPr>
          <w:lang w:val="en-US"/>
        </w:rPr>
        <w:t>3. Risk Assessment</w:t>
      </w:r>
    </w:p>
    <w:p w14:paraId="388EEB3C" w14:textId="77777777" w:rsidR="00B357C6" w:rsidRPr="00141096" w:rsidRDefault="00000000">
      <w:pPr>
        <w:spacing w:before="80" w:after="80"/>
        <w:rPr>
          <w:lang w:val="en-US"/>
        </w:rPr>
      </w:pPr>
      <w:r w:rsidRPr="00141096">
        <w:rPr>
          <w:color w:val="374151"/>
          <w:lang w:val="en-US"/>
        </w:rPr>
        <w:t>Risks are assessed on a three-point scale: Low / Medium / High — both before and after mitigation measures.</w:t>
      </w:r>
    </w:p>
    <w:p w14:paraId="5DE33356" w14:textId="77777777" w:rsidR="00B357C6" w:rsidRPr="00141096" w:rsidRDefault="00B357C6">
      <w:pPr>
        <w:spacing w:before="80" w:after="80"/>
        <w:rPr>
          <w:lang w:val="en-U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36"/>
        <w:gridCol w:w="1075"/>
        <w:gridCol w:w="813"/>
        <w:gridCol w:w="3678"/>
        <w:gridCol w:w="924"/>
      </w:tblGrid>
      <w:tr w:rsidR="00B357C6" w14:paraId="15D217A6"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0D2B5E"/>
            <w:tcMar>
              <w:top w:w="80" w:type="dxa"/>
              <w:left w:w="120" w:type="dxa"/>
              <w:bottom w:w="80" w:type="dxa"/>
              <w:right w:w="120" w:type="dxa"/>
            </w:tcMar>
          </w:tcPr>
          <w:p w14:paraId="70356293" w14:textId="77777777" w:rsidR="00B357C6" w:rsidRDefault="00000000">
            <w:r>
              <w:rPr>
                <w:b/>
                <w:bCs/>
                <w:color w:val="FFFFFF"/>
                <w:sz w:val="20"/>
                <w:szCs w:val="20"/>
              </w:rPr>
              <w:t>Risk</w:t>
            </w:r>
          </w:p>
        </w:tc>
        <w:tc>
          <w:tcPr>
            <w:tcW w:w="800" w:type="dxa"/>
            <w:tcBorders>
              <w:top w:val="single" w:sz="1" w:space="0" w:color="CCCCCC"/>
              <w:left w:val="single" w:sz="1" w:space="0" w:color="CCCCCC"/>
              <w:bottom w:val="single" w:sz="1" w:space="0" w:color="CCCCCC"/>
              <w:right w:val="single" w:sz="1" w:space="0" w:color="CCCCCC"/>
            </w:tcBorders>
            <w:shd w:val="clear" w:color="auto" w:fill="0D2B5E"/>
            <w:tcMar>
              <w:top w:w="80" w:type="dxa"/>
              <w:left w:w="80" w:type="dxa"/>
              <w:bottom w:w="80" w:type="dxa"/>
              <w:right w:w="80" w:type="dxa"/>
            </w:tcMar>
          </w:tcPr>
          <w:p w14:paraId="4B1396AA" w14:textId="77777777" w:rsidR="00B357C6" w:rsidRDefault="00000000">
            <w:pPr>
              <w:jc w:val="center"/>
            </w:pPr>
            <w:proofErr w:type="spellStart"/>
            <w:r>
              <w:rPr>
                <w:b/>
                <w:bCs/>
                <w:color w:val="FFFFFF"/>
                <w:sz w:val="18"/>
                <w:szCs w:val="18"/>
              </w:rPr>
              <w:t>Likelihood</w:t>
            </w:r>
            <w:proofErr w:type="spellEnd"/>
          </w:p>
        </w:tc>
        <w:tc>
          <w:tcPr>
            <w:tcW w:w="800" w:type="dxa"/>
            <w:tcBorders>
              <w:top w:val="single" w:sz="1" w:space="0" w:color="CCCCCC"/>
              <w:left w:val="single" w:sz="1" w:space="0" w:color="CCCCCC"/>
              <w:bottom w:val="single" w:sz="1" w:space="0" w:color="CCCCCC"/>
              <w:right w:val="single" w:sz="1" w:space="0" w:color="CCCCCC"/>
            </w:tcBorders>
            <w:shd w:val="clear" w:color="auto" w:fill="0D2B5E"/>
            <w:tcMar>
              <w:top w:w="80" w:type="dxa"/>
              <w:left w:w="80" w:type="dxa"/>
              <w:bottom w:w="80" w:type="dxa"/>
              <w:right w:w="80" w:type="dxa"/>
            </w:tcMar>
          </w:tcPr>
          <w:p w14:paraId="4987DBF0" w14:textId="77777777" w:rsidR="00B357C6" w:rsidRDefault="00000000">
            <w:pPr>
              <w:jc w:val="center"/>
            </w:pPr>
            <w:proofErr w:type="spellStart"/>
            <w:r>
              <w:rPr>
                <w:b/>
                <w:bCs/>
                <w:color w:val="FFFFFF"/>
                <w:sz w:val="18"/>
                <w:szCs w:val="18"/>
              </w:rPr>
              <w:t>Impact</w:t>
            </w:r>
            <w:proofErr w:type="spellEnd"/>
          </w:p>
        </w:tc>
        <w:tc>
          <w:tcPr>
            <w:tcW w:w="3626" w:type="dxa"/>
            <w:tcBorders>
              <w:top w:val="single" w:sz="1" w:space="0" w:color="CCCCCC"/>
              <w:left w:val="single" w:sz="1" w:space="0" w:color="CCCCCC"/>
              <w:bottom w:val="single" w:sz="1" w:space="0" w:color="CCCCCC"/>
              <w:right w:val="single" w:sz="1" w:space="0" w:color="CCCCCC"/>
            </w:tcBorders>
            <w:shd w:val="clear" w:color="auto" w:fill="0D2B5E"/>
            <w:tcMar>
              <w:top w:w="80" w:type="dxa"/>
              <w:left w:w="120" w:type="dxa"/>
              <w:bottom w:w="80" w:type="dxa"/>
              <w:right w:w="120" w:type="dxa"/>
            </w:tcMar>
          </w:tcPr>
          <w:p w14:paraId="7C0D5A67" w14:textId="77777777" w:rsidR="00B357C6" w:rsidRDefault="00000000">
            <w:proofErr w:type="spellStart"/>
            <w:r>
              <w:rPr>
                <w:b/>
                <w:bCs/>
                <w:color w:val="FFFFFF"/>
                <w:sz w:val="18"/>
                <w:szCs w:val="18"/>
              </w:rPr>
              <w:t>Mitigation</w:t>
            </w:r>
            <w:proofErr w:type="spellEnd"/>
            <w:r>
              <w:rPr>
                <w:b/>
                <w:bCs/>
                <w:color w:val="FFFFFF"/>
                <w:sz w:val="18"/>
                <w:szCs w:val="18"/>
              </w:rPr>
              <w:t xml:space="preserve"> measures</w:t>
            </w:r>
          </w:p>
        </w:tc>
        <w:tc>
          <w:tcPr>
            <w:tcW w:w="800" w:type="dxa"/>
            <w:tcBorders>
              <w:top w:val="single" w:sz="1" w:space="0" w:color="CCCCCC"/>
              <w:left w:val="single" w:sz="1" w:space="0" w:color="CCCCCC"/>
              <w:bottom w:val="single" w:sz="1" w:space="0" w:color="CCCCCC"/>
              <w:right w:val="single" w:sz="1" w:space="0" w:color="CCCCCC"/>
            </w:tcBorders>
            <w:shd w:val="clear" w:color="auto" w:fill="0D2B5E"/>
            <w:tcMar>
              <w:top w:w="80" w:type="dxa"/>
              <w:left w:w="80" w:type="dxa"/>
              <w:bottom w:w="80" w:type="dxa"/>
              <w:right w:w="80" w:type="dxa"/>
            </w:tcMar>
          </w:tcPr>
          <w:p w14:paraId="275227EB" w14:textId="77777777" w:rsidR="00B357C6" w:rsidRDefault="00000000">
            <w:pPr>
              <w:jc w:val="center"/>
            </w:pPr>
            <w:r>
              <w:rPr>
                <w:b/>
                <w:bCs/>
                <w:color w:val="FFFFFF"/>
                <w:sz w:val="18"/>
                <w:szCs w:val="18"/>
              </w:rPr>
              <w:t>Residual</w:t>
            </w:r>
          </w:p>
        </w:tc>
      </w:tr>
      <w:tr w:rsidR="00B357C6" w14:paraId="4EC67E25"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7E1F467" w14:textId="77777777" w:rsidR="00B357C6" w:rsidRPr="00141096" w:rsidRDefault="00000000">
            <w:pPr>
              <w:rPr>
                <w:lang w:val="en-US"/>
              </w:rPr>
            </w:pPr>
            <w:r w:rsidRPr="00141096">
              <w:rPr>
                <w:color w:val="374151"/>
                <w:sz w:val="19"/>
                <w:szCs w:val="19"/>
                <w:lang w:val="en-US"/>
              </w:rPr>
              <w:t>AI generates incorrect or hallucinated legal guidance</w:t>
            </w:r>
          </w:p>
        </w:tc>
        <w:tc>
          <w:tcPr>
            <w:tcW w:w="800" w:type="dxa"/>
            <w:tcBorders>
              <w:top w:val="single" w:sz="1" w:space="0" w:color="CCCCCC"/>
              <w:left w:val="single" w:sz="1" w:space="0" w:color="CCCCCC"/>
              <w:bottom w:val="single" w:sz="1" w:space="0" w:color="CCCCCC"/>
              <w:right w:val="single" w:sz="1" w:space="0" w:color="CCCCCC"/>
            </w:tcBorders>
            <w:shd w:val="clear" w:color="auto" w:fill="EAF3DE"/>
            <w:tcMar>
              <w:top w:w="80" w:type="dxa"/>
              <w:left w:w="80" w:type="dxa"/>
              <w:bottom w:w="80" w:type="dxa"/>
              <w:right w:w="80" w:type="dxa"/>
            </w:tcMar>
          </w:tcPr>
          <w:p w14:paraId="7269D6A0" w14:textId="77777777" w:rsidR="00B357C6" w:rsidRDefault="00000000">
            <w:pPr>
              <w:jc w:val="center"/>
            </w:pPr>
            <w:r>
              <w:rPr>
                <w:color w:val="374151"/>
                <w:sz w:val="18"/>
                <w:szCs w:val="18"/>
              </w:rPr>
              <w:t>Low</w:t>
            </w:r>
          </w:p>
        </w:tc>
        <w:tc>
          <w:tcPr>
            <w:tcW w:w="800" w:type="dxa"/>
            <w:tcBorders>
              <w:top w:val="single" w:sz="1" w:space="0" w:color="CCCCCC"/>
              <w:left w:val="single" w:sz="1" w:space="0" w:color="CCCCCC"/>
              <w:bottom w:val="single" w:sz="1" w:space="0" w:color="CCCCCC"/>
              <w:right w:val="single" w:sz="1" w:space="0" w:color="CCCCCC"/>
            </w:tcBorders>
            <w:shd w:val="clear" w:color="auto" w:fill="FEF2F2"/>
            <w:tcMar>
              <w:top w:w="80" w:type="dxa"/>
              <w:left w:w="80" w:type="dxa"/>
              <w:bottom w:w="80" w:type="dxa"/>
              <w:right w:w="80" w:type="dxa"/>
            </w:tcMar>
          </w:tcPr>
          <w:p w14:paraId="615BB5B4" w14:textId="77777777" w:rsidR="00B357C6" w:rsidRDefault="00000000">
            <w:pPr>
              <w:jc w:val="center"/>
            </w:pPr>
            <w:r>
              <w:rPr>
                <w:color w:val="374151"/>
                <w:sz w:val="18"/>
                <w:szCs w:val="18"/>
              </w:rPr>
              <w:t>High</w:t>
            </w:r>
          </w:p>
        </w:tc>
        <w:tc>
          <w:tcPr>
            <w:tcW w:w="36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656A4B7" w14:textId="77777777" w:rsidR="00B357C6" w:rsidRDefault="00000000">
            <w:r w:rsidRPr="00141096">
              <w:rPr>
                <w:color w:val="374151"/>
                <w:sz w:val="18"/>
                <w:szCs w:val="18"/>
                <w:lang w:val="en-US"/>
              </w:rPr>
              <w:t xml:space="preserve">System prompt strictly forbids answers not grounded in the knowledge base. Every response cites its source. Knowledge base contains only validated, official legal sources. </w:t>
            </w:r>
            <w:r>
              <w:rPr>
                <w:color w:val="374151"/>
                <w:sz w:val="18"/>
                <w:szCs w:val="18"/>
              </w:rPr>
              <w:t xml:space="preserve">Users </w:t>
            </w:r>
            <w:proofErr w:type="spellStart"/>
            <w:r>
              <w:rPr>
                <w:color w:val="374151"/>
                <w:sz w:val="18"/>
                <w:szCs w:val="18"/>
              </w:rPr>
              <w:t>are</w:t>
            </w:r>
            <w:proofErr w:type="spellEnd"/>
            <w:r>
              <w:rPr>
                <w:color w:val="374151"/>
                <w:sz w:val="18"/>
                <w:szCs w:val="18"/>
              </w:rPr>
              <w:t xml:space="preserve"> </w:t>
            </w:r>
            <w:proofErr w:type="spellStart"/>
            <w:r>
              <w:rPr>
                <w:color w:val="374151"/>
                <w:sz w:val="18"/>
                <w:szCs w:val="18"/>
              </w:rPr>
              <w:t>informed</w:t>
            </w:r>
            <w:proofErr w:type="spellEnd"/>
            <w:r>
              <w:rPr>
                <w:color w:val="374151"/>
                <w:sz w:val="18"/>
                <w:szCs w:val="18"/>
              </w:rPr>
              <w:t xml:space="preserve"> </w:t>
            </w:r>
            <w:proofErr w:type="spellStart"/>
            <w:r>
              <w:rPr>
                <w:color w:val="374151"/>
                <w:sz w:val="18"/>
                <w:szCs w:val="18"/>
              </w:rPr>
              <w:t>that</w:t>
            </w:r>
            <w:proofErr w:type="spellEnd"/>
            <w:r>
              <w:rPr>
                <w:color w:val="374151"/>
                <w:sz w:val="18"/>
                <w:szCs w:val="18"/>
              </w:rPr>
              <w:t xml:space="preserve"> guidance is not legal </w:t>
            </w:r>
            <w:proofErr w:type="spellStart"/>
            <w:r>
              <w:rPr>
                <w:color w:val="374151"/>
                <w:sz w:val="18"/>
                <w:szCs w:val="18"/>
              </w:rPr>
              <w:t>advice</w:t>
            </w:r>
            <w:proofErr w:type="spellEnd"/>
            <w:r>
              <w:rPr>
                <w:color w:val="374151"/>
                <w:sz w:val="18"/>
                <w:szCs w:val="18"/>
              </w:rPr>
              <w:t>.</w:t>
            </w:r>
          </w:p>
        </w:tc>
        <w:tc>
          <w:tcPr>
            <w:tcW w:w="800" w:type="dxa"/>
            <w:tcBorders>
              <w:top w:val="single" w:sz="1" w:space="0" w:color="CCCCCC"/>
              <w:left w:val="single" w:sz="1" w:space="0" w:color="CCCCCC"/>
              <w:bottom w:val="single" w:sz="1" w:space="0" w:color="CCCCCC"/>
              <w:right w:val="single" w:sz="1" w:space="0" w:color="CCCCCC"/>
            </w:tcBorders>
            <w:shd w:val="clear" w:color="auto" w:fill="EAF3DE"/>
            <w:tcMar>
              <w:top w:w="80" w:type="dxa"/>
              <w:left w:w="80" w:type="dxa"/>
              <w:bottom w:w="80" w:type="dxa"/>
              <w:right w:w="80" w:type="dxa"/>
            </w:tcMar>
          </w:tcPr>
          <w:p w14:paraId="14F9D0A8" w14:textId="77777777" w:rsidR="00B357C6" w:rsidRDefault="00000000">
            <w:pPr>
              <w:jc w:val="center"/>
            </w:pPr>
            <w:r>
              <w:rPr>
                <w:color w:val="374151"/>
                <w:sz w:val="18"/>
                <w:szCs w:val="18"/>
              </w:rPr>
              <w:t>Low</w:t>
            </w:r>
          </w:p>
        </w:tc>
      </w:tr>
      <w:tr w:rsidR="00B357C6" w14:paraId="24E8410E"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FE2255D" w14:textId="77777777" w:rsidR="00B357C6" w:rsidRPr="00141096" w:rsidRDefault="00000000">
            <w:pPr>
              <w:rPr>
                <w:lang w:val="en-US"/>
              </w:rPr>
            </w:pPr>
            <w:r w:rsidRPr="00141096">
              <w:rPr>
                <w:color w:val="374151"/>
                <w:sz w:val="19"/>
                <w:szCs w:val="19"/>
                <w:lang w:val="en-US"/>
              </w:rPr>
              <w:t>User includes personal data of third parties in questions</w:t>
            </w:r>
          </w:p>
        </w:tc>
        <w:tc>
          <w:tcPr>
            <w:tcW w:w="800" w:type="dxa"/>
            <w:tcBorders>
              <w:top w:val="single" w:sz="1" w:space="0" w:color="CCCCCC"/>
              <w:left w:val="single" w:sz="1" w:space="0" w:color="CCCCCC"/>
              <w:bottom w:val="single" w:sz="1" w:space="0" w:color="CCCCCC"/>
              <w:right w:val="single" w:sz="1" w:space="0" w:color="CCCCCC"/>
            </w:tcBorders>
            <w:shd w:val="clear" w:color="auto" w:fill="FFF8E6"/>
            <w:tcMar>
              <w:top w:w="80" w:type="dxa"/>
              <w:left w:w="80" w:type="dxa"/>
              <w:bottom w:w="80" w:type="dxa"/>
              <w:right w:w="80" w:type="dxa"/>
            </w:tcMar>
          </w:tcPr>
          <w:p w14:paraId="11C0250C" w14:textId="77777777" w:rsidR="00B357C6" w:rsidRDefault="00000000">
            <w:pPr>
              <w:jc w:val="center"/>
            </w:pPr>
            <w:r>
              <w:rPr>
                <w:color w:val="374151"/>
                <w:sz w:val="18"/>
                <w:szCs w:val="18"/>
              </w:rPr>
              <w:t>Medium</w:t>
            </w:r>
          </w:p>
        </w:tc>
        <w:tc>
          <w:tcPr>
            <w:tcW w:w="800" w:type="dxa"/>
            <w:tcBorders>
              <w:top w:val="single" w:sz="1" w:space="0" w:color="CCCCCC"/>
              <w:left w:val="single" w:sz="1" w:space="0" w:color="CCCCCC"/>
              <w:bottom w:val="single" w:sz="1" w:space="0" w:color="CCCCCC"/>
              <w:right w:val="single" w:sz="1" w:space="0" w:color="CCCCCC"/>
            </w:tcBorders>
            <w:shd w:val="clear" w:color="auto" w:fill="FFF8E6"/>
            <w:tcMar>
              <w:top w:w="80" w:type="dxa"/>
              <w:left w:w="80" w:type="dxa"/>
              <w:bottom w:w="80" w:type="dxa"/>
              <w:right w:w="80" w:type="dxa"/>
            </w:tcMar>
          </w:tcPr>
          <w:p w14:paraId="135A030C" w14:textId="77777777" w:rsidR="00B357C6" w:rsidRDefault="00000000">
            <w:pPr>
              <w:jc w:val="center"/>
            </w:pPr>
            <w:r>
              <w:rPr>
                <w:color w:val="374151"/>
                <w:sz w:val="18"/>
                <w:szCs w:val="18"/>
              </w:rPr>
              <w:t>Medium</w:t>
            </w:r>
          </w:p>
        </w:tc>
        <w:tc>
          <w:tcPr>
            <w:tcW w:w="36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F3393FC" w14:textId="77777777" w:rsidR="00B357C6" w:rsidRPr="00141096" w:rsidRDefault="00000000">
            <w:pPr>
              <w:rPr>
                <w:lang w:val="en-US"/>
              </w:rPr>
            </w:pPr>
            <w:r w:rsidRPr="00141096">
              <w:rPr>
                <w:color w:val="374151"/>
                <w:sz w:val="18"/>
                <w:szCs w:val="18"/>
                <w:lang w:val="en-US"/>
              </w:rPr>
              <w:t>Zero data retention on Azure OpenAI — queries not stored after processing. Terms of service advise against including personal data. Knowledge base queries do not log user content.</w:t>
            </w:r>
          </w:p>
        </w:tc>
        <w:tc>
          <w:tcPr>
            <w:tcW w:w="800" w:type="dxa"/>
            <w:tcBorders>
              <w:top w:val="single" w:sz="1" w:space="0" w:color="CCCCCC"/>
              <w:left w:val="single" w:sz="1" w:space="0" w:color="CCCCCC"/>
              <w:bottom w:val="single" w:sz="1" w:space="0" w:color="CCCCCC"/>
              <w:right w:val="single" w:sz="1" w:space="0" w:color="CCCCCC"/>
            </w:tcBorders>
            <w:shd w:val="clear" w:color="auto" w:fill="EAF3DE"/>
            <w:tcMar>
              <w:top w:w="80" w:type="dxa"/>
              <w:left w:w="80" w:type="dxa"/>
              <w:bottom w:w="80" w:type="dxa"/>
              <w:right w:w="80" w:type="dxa"/>
            </w:tcMar>
          </w:tcPr>
          <w:p w14:paraId="78C12653" w14:textId="77777777" w:rsidR="00B357C6" w:rsidRDefault="00000000">
            <w:pPr>
              <w:jc w:val="center"/>
            </w:pPr>
            <w:r>
              <w:rPr>
                <w:color w:val="374151"/>
                <w:sz w:val="18"/>
                <w:szCs w:val="18"/>
              </w:rPr>
              <w:t>Low</w:t>
            </w:r>
          </w:p>
        </w:tc>
      </w:tr>
      <w:tr w:rsidR="00B357C6" w14:paraId="005BF802"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D147625" w14:textId="77777777" w:rsidR="00B357C6" w:rsidRPr="00141096" w:rsidRDefault="00000000">
            <w:pPr>
              <w:rPr>
                <w:lang w:val="en-US"/>
              </w:rPr>
            </w:pPr>
            <w:proofErr w:type="spellStart"/>
            <w:r w:rsidRPr="00141096">
              <w:rPr>
                <w:color w:val="374151"/>
                <w:sz w:val="19"/>
                <w:szCs w:val="19"/>
                <w:lang w:val="en-US"/>
              </w:rPr>
              <w:t>Unauthorised</w:t>
            </w:r>
            <w:proofErr w:type="spellEnd"/>
            <w:r w:rsidRPr="00141096">
              <w:rPr>
                <w:color w:val="374151"/>
                <w:sz w:val="19"/>
                <w:szCs w:val="19"/>
                <w:lang w:val="en-US"/>
              </w:rPr>
              <w:t xml:space="preserve"> access to the service</w:t>
            </w:r>
          </w:p>
        </w:tc>
        <w:tc>
          <w:tcPr>
            <w:tcW w:w="800" w:type="dxa"/>
            <w:tcBorders>
              <w:top w:val="single" w:sz="1" w:space="0" w:color="CCCCCC"/>
              <w:left w:val="single" w:sz="1" w:space="0" w:color="CCCCCC"/>
              <w:bottom w:val="single" w:sz="1" w:space="0" w:color="CCCCCC"/>
              <w:right w:val="single" w:sz="1" w:space="0" w:color="CCCCCC"/>
            </w:tcBorders>
            <w:shd w:val="clear" w:color="auto" w:fill="EAF3DE"/>
            <w:tcMar>
              <w:top w:w="80" w:type="dxa"/>
              <w:left w:w="80" w:type="dxa"/>
              <w:bottom w:w="80" w:type="dxa"/>
              <w:right w:w="80" w:type="dxa"/>
            </w:tcMar>
          </w:tcPr>
          <w:p w14:paraId="15057543" w14:textId="77777777" w:rsidR="00B357C6" w:rsidRDefault="00000000">
            <w:pPr>
              <w:jc w:val="center"/>
            </w:pPr>
            <w:r>
              <w:rPr>
                <w:color w:val="374151"/>
                <w:sz w:val="18"/>
                <w:szCs w:val="18"/>
              </w:rPr>
              <w:t>Low</w:t>
            </w:r>
          </w:p>
        </w:tc>
        <w:tc>
          <w:tcPr>
            <w:tcW w:w="800" w:type="dxa"/>
            <w:tcBorders>
              <w:top w:val="single" w:sz="1" w:space="0" w:color="CCCCCC"/>
              <w:left w:val="single" w:sz="1" w:space="0" w:color="CCCCCC"/>
              <w:bottom w:val="single" w:sz="1" w:space="0" w:color="CCCCCC"/>
              <w:right w:val="single" w:sz="1" w:space="0" w:color="CCCCCC"/>
            </w:tcBorders>
            <w:shd w:val="clear" w:color="auto" w:fill="FFF8E6"/>
            <w:tcMar>
              <w:top w:w="80" w:type="dxa"/>
              <w:left w:w="80" w:type="dxa"/>
              <w:bottom w:w="80" w:type="dxa"/>
              <w:right w:w="80" w:type="dxa"/>
            </w:tcMar>
          </w:tcPr>
          <w:p w14:paraId="0D703CB9" w14:textId="77777777" w:rsidR="00B357C6" w:rsidRDefault="00000000">
            <w:pPr>
              <w:jc w:val="center"/>
            </w:pPr>
            <w:r>
              <w:rPr>
                <w:color w:val="374151"/>
                <w:sz w:val="18"/>
                <w:szCs w:val="18"/>
              </w:rPr>
              <w:t>Medium</w:t>
            </w:r>
          </w:p>
        </w:tc>
        <w:tc>
          <w:tcPr>
            <w:tcW w:w="36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5D62D38" w14:textId="77777777" w:rsidR="00B357C6" w:rsidRPr="00141096" w:rsidRDefault="00000000">
            <w:pPr>
              <w:rPr>
                <w:lang w:val="en-US"/>
              </w:rPr>
            </w:pPr>
            <w:r w:rsidRPr="00141096">
              <w:rPr>
                <w:color w:val="374151"/>
                <w:sz w:val="18"/>
                <w:szCs w:val="18"/>
                <w:lang w:val="en-US"/>
              </w:rPr>
              <w:t>Authentication via Microsoft Entra ID — enterprise-grade identity management. Only explicitly invited guest users can access. No self-registration possible.</w:t>
            </w:r>
          </w:p>
        </w:tc>
        <w:tc>
          <w:tcPr>
            <w:tcW w:w="800" w:type="dxa"/>
            <w:tcBorders>
              <w:top w:val="single" w:sz="1" w:space="0" w:color="CCCCCC"/>
              <w:left w:val="single" w:sz="1" w:space="0" w:color="CCCCCC"/>
              <w:bottom w:val="single" w:sz="1" w:space="0" w:color="CCCCCC"/>
              <w:right w:val="single" w:sz="1" w:space="0" w:color="CCCCCC"/>
            </w:tcBorders>
            <w:shd w:val="clear" w:color="auto" w:fill="EAF3DE"/>
            <w:tcMar>
              <w:top w:w="80" w:type="dxa"/>
              <w:left w:w="80" w:type="dxa"/>
              <w:bottom w:w="80" w:type="dxa"/>
              <w:right w:w="80" w:type="dxa"/>
            </w:tcMar>
          </w:tcPr>
          <w:p w14:paraId="24919709" w14:textId="77777777" w:rsidR="00B357C6" w:rsidRDefault="00000000">
            <w:pPr>
              <w:jc w:val="center"/>
            </w:pPr>
            <w:r>
              <w:rPr>
                <w:color w:val="374151"/>
                <w:sz w:val="18"/>
                <w:szCs w:val="18"/>
              </w:rPr>
              <w:t>Low</w:t>
            </w:r>
          </w:p>
        </w:tc>
      </w:tr>
      <w:tr w:rsidR="00B357C6" w14:paraId="4925E259"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3461FFE" w14:textId="77777777" w:rsidR="00B357C6" w:rsidRPr="00141096" w:rsidRDefault="00000000">
            <w:pPr>
              <w:rPr>
                <w:lang w:val="en-US"/>
              </w:rPr>
            </w:pPr>
            <w:r w:rsidRPr="00141096">
              <w:rPr>
                <w:color w:val="374151"/>
                <w:sz w:val="19"/>
                <w:szCs w:val="19"/>
                <w:lang w:val="en-US"/>
              </w:rPr>
              <w:t>Data breach at Azure (infrastructure provider)</w:t>
            </w:r>
          </w:p>
        </w:tc>
        <w:tc>
          <w:tcPr>
            <w:tcW w:w="800" w:type="dxa"/>
            <w:tcBorders>
              <w:top w:val="single" w:sz="1" w:space="0" w:color="CCCCCC"/>
              <w:left w:val="single" w:sz="1" w:space="0" w:color="CCCCCC"/>
              <w:bottom w:val="single" w:sz="1" w:space="0" w:color="CCCCCC"/>
              <w:right w:val="single" w:sz="1" w:space="0" w:color="CCCCCC"/>
            </w:tcBorders>
            <w:shd w:val="clear" w:color="auto" w:fill="EAF3DE"/>
            <w:tcMar>
              <w:top w:w="80" w:type="dxa"/>
              <w:left w:w="80" w:type="dxa"/>
              <w:bottom w:w="80" w:type="dxa"/>
              <w:right w:w="80" w:type="dxa"/>
            </w:tcMar>
          </w:tcPr>
          <w:p w14:paraId="1446471E" w14:textId="77777777" w:rsidR="00B357C6" w:rsidRDefault="00000000">
            <w:pPr>
              <w:jc w:val="center"/>
            </w:pPr>
            <w:r>
              <w:rPr>
                <w:color w:val="374151"/>
                <w:sz w:val="18"/>
                <w:szCs w:val="18"/>
              </w:rPr>
              <w:t>Low</w:t>
            </w:r>
          </w:p>
        </w:tc>
        <w:tc>
          <w:tcPr>
            <w:tcW w:w="800" w:type="dxa"/>
            <w:tcBorders>
              <w:top w:val="single" w:sz="1" w:space="0" w:color="CCCCCC"/>
              <w:left w:val="single" w:sz="1" w:space="0" w:color="CCCCCC"/>
              <w:bottom w:val="single" w:sz="1" w:space="0" w:color="CCCCCC"/>
              <w:right w:val="single" w:sz="1" w:space="0" w:color="CCCCCC"/>
            </w:tcBorders>
            <w:shd w:val="clear" w:color="auto" w:fill="FEF2F2"/>
            <w:tcMar>
              <w:top w:w="80" w:type="dxa"/>
              <w:left w:w="80" w:type="dxa"/>
              <w:bottom w:w="80" w:type="dxa"/>
              <w:right w:w="80" w:type="dxa"/>
            </w:tcMar>
          </w:tcPr>
          <w:p w14:paraId="672304B7" w14:textId="77777777" w:rsidR="00B357C6" w:rsidRDefault="00000000">
            <w:pPr>
              <w:jc w:val="center"/>
            </w:pPr>
            <w:r>
              <w:rPr>
                <w:color w:val="374151"/>
                <w:sz w:val="18"/>
                <w:szCs w:val="18"/>
              </w:rPr>
              <w:t>High</w:t>
            </w:r>
          </w:p>
        </w:tc>
        <w:tc>
          <w:tcPr>
            <w:tcW w:w="36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578D0DF" w14:textId="77777777" w:rsidR="00B357C6" w:rsidRDefault="00000000">
            <w:r w:rsidRPr="00141096">
              <w:rPr>
                <w:color w:val="374151"/>
                <w:sz w:val="18"/>
                <w:szCs w:val="18"/>
                <w:lang w:val="en-US"/>
              </w:rPr>
              <w:t xml:space="preserve">Infrastructure hosted in Microsoft Azure Sweden Central (EU). Microsoft holds ISO 27001, SOC 2 Type II, and other certifications. </w:t>
            </w:r>
            <w:r>
              <w:rPr>
                <w:color w:val="374151"/>
                <w:sz w:val="18"/>
                <w:szCs w:val="18"/>
              </w:rPr>
              <w:t xml:space="preserve">Data is </w:t>
            </w:r>
            <w:proofErr w:type="spellStart"/>
            <w:r>
              <w:rPr>
                <w:color w:val="374151"/>
                <w:sz w:val="18"/>
                <w:szCs w:val="18"/>
              </w:rPr>
              <w:t>encrypted</w:t>
            </w:r>
            <w:proofErr w:type="spellEnd"/>
            <w:r>
              <w:rPr>
                <w:color w:val="374151"/>
                <w:sz w:val="18"/>
                <w:szCs w:val="18"/>
              </w:rPr>
              <w:t xml:space="preserve"> at rest and in transit.</w:t>
            </w:r>
          </w:p>
        </w:tc>
        <w:tc>
          <w:tcPr>
            <w:tcW w:w="800" w:type="dxa"/>
            <w:tcBorders>
              <w:top w:val="single" w:sz="1" w:space="0" w:color="CCCCCC"/>
              <w:left w:val="single" w:sz="1" w:space="0" w:color="CCCCCC"/>
              <w:bottom w:val="single" w:sz="1" w:space="0" w:color="CCCCCC"/>
              <w:right w:val="single" w:sz="1" w:space="0" w:color="CCCCCC"/>
            </w:tcBorders>
            <w:shd w:val="clear" w:color="auto" w:fill="EAF3DE"/>
            <w:tcMar>
              <w:top w:w="80" w:type="dxa"/>
              <w:left w:w="80" w:type="dxa"/>
              <w:bottom w:w="80" w:type="dxa"/>
              <w:right w:w="80" w:type="dxa"/>
            </w:tcMar>
          </w:tcPr>
          <w:p w14:paraId="46F1E689" w14:textId="77777777" w:rsidR="00B357C6" w:rsidRDefault="00000000">
            <w:pPr>
              <w:jc w:val="center"/>
            </w:pPr>
            <w:r>
              <w:rPr>
                <w:color w:val="374151"/>
                <w:sz w:val="18"/>
                <w:szCs w:val="18"/>
              </w:rPr>
              <w:t>Low</w:t>
            </w:r>
          </w:p>
        </w:tc>
      </w:tr>
      <w:tr w:rsidR="00B357C6" w14:paraId="55EF12E2"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D693C3C" w14:textId="77777777" w:rsidR="00B357C6" w:rsidRDefault="00000000">
            <w:r>
              <w:rPr>
                <w:color w:val="374151"/>
                <w:sz w:val="19"/>
                <w:szCs w:val="19"/>
              </w:rPr>
              <w:t xml:space="preserve">Knowledge base </w:t>
            </w:r>
            <w:proofErr w:type="spellStart"/>
            <w:r>
              <w:rPr>
                <w:color w:val="374151"/>
                <w:sz w:val="19"/>
                <w:szCs w:val="19"/>
              </w:rPr>
              <w:t>becomes</w:t>
            </w:r>
            <w:proofErr w:type="spellEnd"/>
            <w:r>
              <w:rPr>
                <w:color w:val="374151"/>
                <w:sz w:val="19"/>
                <w:szCs w:val="19"/>
              </w:rPr>
              <w:t xml:space="preserve"> outdated</w:t>
            </w:r>
          </w:p>
        </w:tc>
        <w:tc>
          <w:tcPr>
            <w:tcW w:w="800" w:type="dxa"/>
            <w:tcBorders>
              <w:top w:val="single" w:sz="1" w:space="0" w:color="CCCCCC"/>
              <w:left w:val="single" w:sz="1" w:space="0" w:color="CCCCCC"/>
              <w:bottom w:val="single" w:sz="1" w:space="0" w:color="CCCCCC"/>
              <w:right w:val="single" w:sz="1" w:space="0" w:color="CCCCCC"/>
            </w:tcBorders>
            <w:shd w:val="clear" w:color="auto" w:fill="FFF8E6"/>
            <w:tcMar>
              <w:top w:w="80" w:type="dxa"/>
              <w:left w:w="80" w:type="dxa"/>
              <w:bottom w:w="80" w:type="dxa"/>
              <w:right w:w="80" w:type="dxa"/>
            </w:tcMar>
          </w:tcPr>
          <w:p w14:paraId="5938A3B6" w14:textId="77777777" w:rsidR="00B357C6" w:rsidRDefault="00000000">
            <w:pPr>
              <w:jc w:val="center"/>
            </w:pPr>
            <w:r>
              <w:rPr>
                <w:color w:val="374151"/>
                <w:sz w:val="18"/>
                <w:szCs w:val="18"/>
              </w:rPr>
              <w:t>Medium</w:t>
            </w:r>
          </w:p>
        </w:tc>
        <w:tc>
          <w:tcPr>
            <w:tcW w:w="800" w:type="dxa"/>
            <w:tcBorders>
              <w:top w:val="single" w:sz="1" w:space="0" w:color="CCCCCC"/>
              <w:left w:val="single" w:sz="1" w:space="0" w:color="CCCCCC"/>
              <w:bottom w:val="single" w:sz="1" w:space="0" w:color="CCCCCC"/>
              <w:right w:val="single" w:sz="1" w:space="0" w:color="CCCCCC"/>
            </w:tcBorders>
            <w:shd w:val="clear" w:color="auto" w:fill="FFF8E6"/>
            <w:tcMar>
              <w:top w:w="80" w:type="dxa"/>
              <w:left w:w="80" w:type="dxa"/>
              <w:bottom w:w="80" w:type="dxa"/>
              <w:right w:w="80" w:type="dxa"/>
            </w:tcMar>
          </w:tcPr>
          <w:p w14:paraId="6CED55C1" w14:textId="77777777" w:rsidR="00B357C6" w:rsidRDefault="00000000">
            <w:pPr>
              <w:jc w:val="center"/>
            </w:pPr>
            <w:r>
              <w:rPr>
                <w:color w:val="374151"/>
                <w:sz w:val="18"/>
                <w:szCs w:val="18"/>
              </w:rPr>
              <w:t>Medium</w:t>
            </w:r>
          </w:p>
        </w:tc>
        <w:tc>
          <w:tcPr>
            <w:tcW w:w="36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7FFC8BE" w14:textId="77777777" w:rsidR="00B357C6" w:rsidRPr="00141096" w:rsidRDefault="00000000">
            <w:pPr>
              <w:rPr>
                <w:lang w:val="en-US"/>
              </w:rPr>
            </w:pPr>
            <w:r w:rsidRPr="00141096">
              <w:rPr>
                <w:color w:val="374151"/>
                <w:sz w:val="18"/>
                <w:szCs w:val="18"/>
                <w:lang w:val="en-US"/>
              </w:rPr>
              <w:t xml:space="preserve">Knowledge base is monitored and updated continuously. Sources include: </w:t>
            </w:r>
            <w:proofErr w:type="spellStart"/>
            <w:r w:rsidRPr="00141096">
              <w:rPr>
                <w:color w:val="374151"/>
                <w:sz w:val="18"/>
                <w:szCs w:val="18"/>
                <w:lang w:val="en-US"/>
              </w:rPr>
              <w:t>Datatilsynet</w:t>
            </w:r>
            <w:proofErr w:type="spellEnd"/>
            <w:r w:rsidRPr="00141096">
              <w:rPr>
                <w:color w:val="374151"/>
                <w:sz w:val="18"/>
                <w:szCs w:val="18"/>
                <w:lang w:val="en-US"/>
              </w:rPr>
              <w:t xml:space="preserve">, EDPB, EUR-Lex, </w:t>
            </w:r>
            <w:proofErr w:type="spellStart"/>
            <w:r w:rsidRPr="00141096">
              <w:rPr>
                <w:color w:val="374151"/>
                <w:sz w:val="18"/>
                <w:szCs w:val="18"/>
                <w:lang w:val="en-US"/>
              </w:rPr>
              <w:t>GDPRhub</w:t>
            </w:r>
            <w:proofErr w:type="spellEnd"/>
            <w:r w:rsidRPr="00141096">
              <w:rPr>
                <w:color w:val="374151"/>
                <w:sz w:val="18"/>
                <w:szCs w:val="18"/>
                <w:lang w:val="en-US"/>
              </w:rPr>
              <w:t>. Update procedures are documented. Customers are informed that guidance is based on the current knowledge base.</w:t>
            </w:r>
          </w:p>
        </w:tc>
        <w:tc>
          <w:tcPr>
            <w:tcW w:w="800" w:type="dxa"/>
            <w:tcBorders>
              <w:top w:val="single" w:sz="1" w:space="0" w:color="CCCCCC"/>
              <w:left w:val="single" w:sz="1" w:space="0" w:color="CCCCCC"/>
              <w:bottom w:val="single" w:sz="1" w:space="0" w:color="CCCCCC"/>
              <w:right w:val="single" w:sz="1" w:space="0" w:color="CCCCCC"/>
            </w:tcBorders>
            <w:shd w:val="clear" w:color="auto" w:fill="EAF3DE"/>
            <w:tcMar>
              <w:top w:w="80" w:type="dxa"/>
              <w:left w:w="80" w:type="dxa"/>
              <w:bottom w:w="80" w:type="dxa"/>
              <w:right w:w="80" w:type="dxa"/>
            </w:tcMar>
          </w:tcPr>
          <w:p w14:paraId="5AC51623" w14:textId="77777777" w:rsidR="00B357C6" w:rsidRDefault="00000000">
            <w:pPr>
              <w:jc w:val="center"/>
            </w:pPr>
            <w:r>
              <w:rPr>
                <w:color w:val="374151"/>
                <w:sz w:val="18"/>
                <w:szCs w:val="18"/>
              </w:rPr>
              <w:t>Low</w:t>
            </w:r>
          </w:p>
        </w:tc>
      </w:tr>
      <w:tr w:rsidR="00B357C6" w14:paraId="2352944A"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FB43D98" w14:textId="77777777" w:rsidR="00B357C6" w:rsidRDefault="00000000">
            <w:r>
              <w:rPr>
                <w:color w:val="374151"/>
                <w:sz w:val="19"/>
                <w:szCs w:val="19"/>
              </w:rPr>
              <w:t xml:space="preserve">Service </w:t>
            </w:r>
            <w:proofErr w:type="spellStart"/>
            <w:r>
              <w:rPr>
                <w:color w:val="374151"/>
                <w:sz w:val="19"/>
                <w:szCs w:val="19"/>
              </w:rPr>
              <w:t>unavailability</w:t>
            </w:r>
            <w:proofErr w:type="spellEnd"/>
            <w:r>
              <w:rPr>
                <w:color w:val="374151"/>
                <w:sz w:val="19"/>
                <w:szCs w:val="19"/>
              </w:rPr>
              <w:t xml:space="preserve"> (downtime)</w:t>
            </w:r>
          </w:p>
        </w:tc>
        <w:tc>
          <w:tcPr>
            <w:tcW w:w="800" w:type="dxa"/>
            <w:tcBorders>
              <w:top w:val="single" w:sz="1" w:space="0" w:color="CCCCCC"/>
              <w:left w:val="single" w:sz="1" w:space="0" w:color="CCCCCC"/>
              <w:bottom w:val="single" w:sz="1" w:space="0" w:color="CCCCCC"/>
              <w:right w:val="single" w:sz="1" w:space="0" w:color="CCCCCC"/>
            </w:tcBorders>
            <w:shd w:val="clear" w:color="auto" w:fill="EAF3DE"/>
            <w:tcMar>
              <w:top w:w="80" w:type="dxa"/>
              <w:left w:w="80" w:type="dxa"/>
              <w:bottom w:w="80" w:type="dxa"/>
              <w:right w:w="80" w:type="dxa"/>
            </w:tcMar>
          </w:tcPr>
          <w:p w14:paraId="50ABD3B9" w14:textId="77777777" w:rsidR="00B357C6" w:rsidRDefault="00000000">
            <w:pPr>
              <w:jc w:val="center"/>
            </w:pPr>
            <w:r>
              <w:rPr>
                <w:color w:val="374151"/>
                <w:sz w:val="18"/>
                <w:szCs w:val="18"/>
              </w:rPr>
              <w:t>Low</w:t>
            </w:r>
          </w:p>
        </w:tc>
        <w:tc>
          <w:tcPr>
            <w:tcW w:w="800" w:type="dxa"/>
            <w:tcBorders>
              <w:top w:val="single" w:sz="1" w:space="0" w:color="CCCCCC"/>
              <w:left w:val="single" w:sz="1" w:space="0" w:color="CCCCCC"/>
              <w:bottom w:val="single" w:sz="1" w:space="0" w:color="CCCCCC"/>
              <w:right w:val="single" w:sz="1" w:space="0" w:color="CCCCCC"/>
            </w:tcBorders>
            <w:shd w:val="clear" w:color="auto" w:fill="EAF3DE"/>
            <w:tcMar>
              <w:top w:w="80" w:type="dxa"/>
              <w:left w:w="80" w:type="dxa"/>
              <w:bottom w:w="80" w:type="dxa"/>
              <w:right w:w="80" w:type="dxa"/>
            </w:tcMar>
          </w:tcPr>
          <w:p w14:paraId="6AE64270" w14:textId="77777777" w:rsidR="00B357C6" w:rsidRDefault="00000000">
            <w:pPr>
              <w:jc w:val="center"/>
            </w:pPr>
            <w:r>
              <w:rPr>
                <w:color w:val="374151"/>
                <w:sz w:val="18"/>
                <w:szCs w:val="18"/>
              </w:rPr>
              <w:t>Low</w:t>
            </w:r>
          </w:p>
        </w:tc>
        <w:tc>
          <w:tcPr>
            <w:tcW w:w="36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E8FA18D" w14:textId="77777777" w:rsidR="00B357C6" w:rsidRPr="00141096" w:rsidRDefault="00000000">
            <w:pPr>
              <w:rPr>
                <w:lang w:val="en-US"/>
              </w:rPr>
            </w:pPr>
            <w:r w:rsidRPr="00141096">
              <w:rPr>
                <w:color w:val="374151"/>
                <w:sz w:val="18"/>
                <w:szCs w:val="18"/>
                <w:lang w:val="en-US"/>
              </w:rPr>
              <w:t>Azure Functions Consumption plan with automatic scaling. Azure SLA: 99.95% uptime. No customer data is at risk during downtime.</w:t>
            </w:r>
          </w:p>
        </w:tc>
        <w:tc>
          <w:tcPr>
            <w:tcW w:w="800" w:type="dxa"/>
            <w:tcBorders>
              <w:top w:val="single" w:sz="1" w:space="0" w:color="CCCCCC"/>
              <w:left w:val="single" w:sz="1" w:space="0" w:color="CCCCCC"/>
              <w:bottom w:val="single" w:sz="1" w:space="0" w:color="CCCCCC"/>
              <w:right w:val="single" w:sz="1" w:space="0" w:color="CCCCCC"/>
            </w:tcBorders>
            <w:shd w:val="clear" w:color="auto" w:fill="EAF3DE"/>
            <w:tcMar>
              <w:top w:w="80" w:type="dxa"/>
              <w:left w:w="80" w:type="dxa"/>
              <w:bottom w:w="80" w:type="dxa"/>
              <w:right w:w="80" w:type="dxa"/>
            </w:tcMar>
          </w:tcPr>
          <w:p w14:paraId="07355034" w14:textId="77777777" w:rsidR="00B357C6" w:rsidRDefault="00000000">
            <w:pPr>
              <w:jc w:val="center"/>
            </w:pPr>
            <w:r>
              <w:rPr>
                <w:color w:val="374151"/>
                <w:sz w:val="18"/>
                <w:szCs w:val="18"/>
              </w:rPr>
              <w:t>Low</w:t>
            </w:r>
          </w:p>
        </w:tc>
      </w:tr>
      <w:tr w:rsidR="00B357C6" w14:paraId="0CCC9BA1"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20F939B" w14:textId="77777777" w:rsidR="00B357C6" w:rsidRPr="00141096" w:rsidRDefault="00000000">
            <w:pPr>
              <w:rPr>
                <w:lang w:val="en-US"/>
              </w:rPr>
            </w:pPr>
            <w:r w:rsidRPr="00141096">
              <w:rPr>
                <w:color w:val="374151"/>
                <w:sz w:val="19"/>
                <w:szCs w:val="19"/>
                <w:lang w:val="en-US"/>
              </w:rPr>
              <w:t xml:space="preserve">Misuse — user </w:t>
            </w:r>
            <w:proofErr w:type="gramStart"/>
            <w:r w:rsidRPr="00141096">
              <w:rPr>
                <w:color w:val="374151"/>
                <w:sz w:val="19"/>
                <w:szCs w:val="19"/>
                <w:lang w:val="en-US"/>
              </w:rPr>
              <w:t>relies</w:t>
            </w:r>
            <w:proofErr w:type="gramEnd"/>
            <w:r w:rsidRPr="00141096">
              <w:rPr>
                <w:color w:val="374151"/>
                <w:sz w:val="19"/>
                <w:szCs w:val="19"/>
                <w:lang w:val="en-US"/>
              </w:rPr>
              <w:t xml:space="preserve"> on guidance as legal advice</w:t>
            </w:r>
          </w:p>
        </w:tc>
        <w:tc>
          <w:tcPr>
            <w:tcW w:w="800" w:type="dxa"/>
            <w:tcBorders>
              <w:top w:val="single" w:sz="1" w:space="0" w:color="CCCCCC"/>
              <w:left w:val="single" w:sz="1" w:space="0" w:color="CCCCCC"/>
              <w:bottom w:val="single" w:sz="1" w:space="0" w:color="CCCCCC"/>
              <w:right w:val="single" w:sz="1" w:space="0" w:color="CCCCCC"/>
            </w:tcBorders>
            <w:shd w:val="clear" w:color="auto" w:fill="FFF8E6"/>
            <w:tcMar>
              <w:top w:w="80" w:type="dxa"/>
              <w:left w:w="80" w:type="dxa"/>
              <w:bottom w:w="80" w:type="dxa"/>
              <w:right w:w="80" w:type="dxa"/>
            </w:tcMar>
          </w:tcPr>
          <w:p w14:paraId="1A9E680B" w14:textId="77777777" w:rsidR="00B357C6" w:rsidRDefault="00000000">
            <w:pPr>
              <w:jc w:val="center"/>
            </w:pPr>
            <w:r>
              <w:rPr>
                <w:color w:val="374151"/>
                <w:sz w:val="18"/>
                <w:szCs w:val="18"/>
              </w:rPr>
              <w:t>Medium</w:t>
            </w:r>
          </w:p>
        </w:tc>
        <w:tc>
          <w:tcPr>
            <w:tcW w:w="800" w:type="dxa"/>
            <w:tcBorders>
              <w:top w:val="single" w:sz="1" w:space="0" w:color="CCCCCC"/>
              <w:left w:val="single" w:sz="1" w:space="0" w:color="CCCCCC"/>
              <w:bottom w:val="single" w:sz="1" w:space="0" w:color="CCCCCC"/>
              <w:right w:val="single" w:sz="1" w:space="0" w:color="CCCCCC"/>
            </w:tcBorders>
            <w:shd w:val="clear" w:color="auto" w:fill="FFF8E6"/>
            <w:tcMar>
              <w:top w:w="80" w:type="dxa"/>
              <w:left w:w="80" w:type="dxa"/>
              <w:bottom w:w="80" w:type="dxa"/>
              <w:right w:w="80" w:type="dxa"/>
            </w:tcMar>
          </w:tcPr>
          <w:p w14:paraId="4A0A3374" w14:textId="77777777" w:rsidR="00B357C6" w:rsidRDefault="00000000">
            <w:pPr>
              <w:jc w:val="center"/>
            </w:pPr>
            <w:r>
              <w:rPr>
                <w:color w:val="374151"/>
                <w:sz w:val="18"/>
                <w:szCs w:val="18"/>
              </w:rPr>
              <w:t>Medium</w:t>
            </w:r>
          </w:p>
        </w:tc>
        <w:tc>
          <w:tcPr>
            <w:tcW w:w="36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464D198" w14:textId="77777777" w:rsidR="00B357C6" w:rsidRPr="00141096" w:rsidRDefault="00000000">
            <w:pPr>
              <w:rPr>
                <w:lang w:val="en-US"/>
              </w:rPr>
            </w:pPr>
            <w:r w:rsidRPr="00141096">
              <w:rPr>
                <w:color w:val="374151"/>
                <w:sz w:val="18"/>
                <w:szCs w:val="18"/>
                <w:lang w:val="en-US"/>
              </w:rPr>
              <w:t>Every response includes a mandatory disclaimer stating that guidance is not legal advice and recommending consultation with a legal advisor for serious matters.</w:t>
            </w:r>
          </w:p>
        </w:tc>
        <w:tc>
          <w:tcPr>
            <w:tcW w:w="800" w:type="dxa"/>
            <w:tcBorders>
              <w:top w:val="single" w:sz="1" w:space="0" w:color="CCCCCC"/>
              <w:left w:val="single" w:sz="1" w:space="0" w:color="CCCCCC"/>
              <w:bottom w:val="single" w:sz="1" w:space="0" w:color="CCCCCC"/>
              <w:right w:val="single" w:sz="1" w:space="0" w:color="CCCCCC"/>
            </w:tcBorders>
            <w:shd w:val="clear" w:color="auto" w:fill="EAF3DE"/>
            <w:tcMar>
              <w:top w:w="80" w:type="dxa"/>
              <w:left w:w="80" w:type="dxa"/>
              <w:bottom w:w="80" w:type="dxa"/>
              <w:right w:w="80" w:type="dxa"/>
            </w:tcMar>
          </w:tcPr>
          <w:p w14:paraId="2AC96FA3" w14:textId="77777777" w:rsidR="00B357C6" w:rsidRDefault="00000000">
            <w:pPr>
              <w:jc w:val="center"/>
            </w:pPr>
            <w:r>
              <w:rPr>
                <w:color w:val="374151"/>
                <w:sz w:val="18"/>
                <w:szCs w:val="18"/>
              </w:rPr>
              <w:t>Low</w:t>
            </w:r>
          </w:p>
        </w:tc>
      </w:tr>
      <w:tr w:rsidR="00B357C6" w14:paraId="72F336DB"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07B3A0B" w14:textId="77777777" w:rsidR="00B357C6" w:rsidRPr="00141096" w:rsidRDefault="00000000">
            <w:pPr>
              <w:rPr>
                <w:lang w:val="en-US"/>
              </w:rPr>
            </w:pPr>
            <w:r w:rsidRPr="00141096">
              <w:rPr>
                <w:color w:val="374151"/>
                <w:sz w:val="19"/>
                <w:szCs w:val="19"/>
                <w:lang w:val="en-US"/>
              </w:rPr>
              <w:lastRenderedPageBreak/>
              <w:t>Vendor lock-in / service discontinuation</w:t>
            </w:r>
          </w:p>
        </w:tc>
        <w:tc>
          <w:tcPr>
            <w:tcW w:w="800" w:type="dxa"/>
            <w:tcBorders>
              <w:top w:val="single" w:sz="1" w:space="0" w:color="CCCCCC"/>
              <w:left w:val="single" w:sz="1" w:space="0" w:color="CCCCCC"/>
              <w:bottom w:val="single" w:sz="1" w:space="0" w:color="CCCCCC"/>
              <w:right w:val="single" w:sz="1" w:space="0" w:color="CCCCCC"/>
            </w:tcBorders>
            <w:shd w:val="clear" w:color="auto" w:fill="EAF3DE"/>
            <w:tcMar>
              <w:top w:w="80" w:type="dxa"/>
              <w:left w:w="80" w:type="dxa"/>
              <w:bottom w:w="80" w:type="dxa"/>
              <w:right w:w="80" w:type="dxa"/>
            </w:tcMar>
          </w:tcPr>
          <w:p w14:paraId="326E8792" w14:textId="77777777" w:rsidR="00B357C6" w:rsidRDefault="00000000">
            <w:pPr>
              <w:jc w:val="center"/>
            </w:pPr>
            <w:r>
              <w:rPr>
                <w:color w:val="374151"/>
                <w:sz w:val="18"/>
                <w:szCs w:val="18"/>
              </w:rPr>
              <w:t>Low</w:t>
            </w:r>
          </w:p>
        </w:tc>
        <w:tc>
          <w:tcPr>
            <w:tcW w:w="800" w:type="dxa"/>
            <w:tcBorders>
              <w:top w:val="single" w:sz="1" w:space="0" w:color="CCCCCC"/>
              <w:left w:val="single" w:sz="1" w:space="0" w:color="CCCCCC"/>
              <w:bottom w:val="single" w:sz="1" w:space="0" w:color="CCCCCC"/>
              <w:right w:val="single" w:sz="1" w:space="0" w:color="CCCCCC"/>
            </w:tcBorders>
            <w:shd w:val="clear" w:color="auto" w:fill="EAF3DE"/>
            <w:tcMar>
              <w:top w:w="80" w:type="dxa"/>
              <w:left w:w="80" w:type="dxa"/>
              <w:bottom w:w="80" w:type="dxa"/>
              <w:right w:w="80" w:type="dxa"/>
            </w:tcMar>
          </w:tcPr>
          <w:p w14:paraId="5553C221" w14:textId="77777777" w:rsidR="00B357C6" w:rsidRDefault="00000000">
            <w:pPr>
              <w:jc w:val="center"/>
            </w:pPr>
            <w:r>
              <w:rPr>
                <w:color w:val="374151"/>
                <w:sz w:val="18"/>
                <w:szCs w:val="18"/>
              </w:rPr>
              <w:t>Low</w:t>
            </w:r>
          </w:p>
        </w:tc>
        <w:tc>
          <w:tcPr>
            <w:tcW w:w="36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94B60E1" w14:textId="77777777" w:rsidR="00B357C6" w:rsidRDefault="00000000">
            <w:r w:rsidRPr="00141096">
              <w:rPr>
                <w:color w:val="374151"/>
                <w:sz w:val="18"/>
                <w:szCs w:val="18"/>
                <w:lang w:val="en-US"/>
              </w:rPr>
              <w:t xml:space="preserve">Customer data is not stored in the service. Cancellation is possible at any time with one month's notice. </w:t>
            </w:r>
            <w:r>
              <w:rPr>
                <w:color w:val="374151"/>
                <w:sz w:val="18"/>
                <w:szCs w:val="18"/>
              </w:rPr>
              <w:t xml:space="preserve">No data </w:t>
            </w:r>
            <w:proofErr w:type="spellStart"/>
            <w:r>
              <w:rPr>
                <w:color w:val="374151"/>
                <w:sz w:val="18"/>
                <w:szCs w:val="18"/>
              </w:rPr>
              <w:t>export</w:t>
            </w:r>
            <w:proofErr w:type="spellEnd"/>
            <w:r>
              <w:rPr>
                <w:color w:val="374151"/>
                <w:sz w:val="18"/>
                <w:szCs w:val="18"/>
              </w:rPr>
              <w:t xml:space="preserve"> </w:t>
            </w:r>
            <w:proofErr w:type="spellStart"/>
            <w:r>
              <w:rPr>
                <w:color w:val="374151"/>
                <w:sz w:val="18"/>
                <w:szCs w:val="18"/>
              </w:rPr>
              <w:t>required</w:t>
            </w:r>
            <w:proofErr w:type="spellEnd"/>
            <w:r>
              <w:rPr>
                <w:color w:val="374151"/>
                <w:sz w:val="18"/>
                <w:szCs w:val="18"/>
              </w:rPr>
              <w:t xml:space="preserve"> upon </w:t>
            </w:r>
            <w:proofErr w:type="spellStart"/>
            <w:r>
              <w:rPr>
                <w:color w:val="374151"/>
                <w:sz w:val="18"/>
                <w:szCs w:val="18"/>
              </w:rPr>
              <w:t>termination</w:t>
            </w:r>
            <w:proofErr w:type="spellEnd"/>
            <w:r>
              <w:rPr>
                <w:color w:val="374151"/>
                <w:sz w:val="18"/>
                <w:szCs w:val="18"/>
              </w:rPr>
              <w:t>.</w:t>
            </w:r>
          </w:p>
        </w:tc>
        <w:tc>
          <w:tcPr>
            <w:tcW w:w="800" w:type="dxa"/>
            <w:tcBorders>
              <w:top w:val="single" w:sz="1" w:space="0" w:color="CCCCCC"/>
              <w:left w:val="single" w:sz="1" w:space="0" w:color="CCCCCC"/>
              <w:bottom w:val="single" w:sz="1" w:space="0" w:color="CCCCCC"/>
              <w:right w:val="single" w:sz="1" w:space="0" w:color="CCCCCC"/>
            </w:tcBorders>
            <w:shd w:val="clear" w:color="auto" w:fill="EAF3DE"/>
            <w:tcMar>
              <w:top w:w="80" w:type="dxa"/>
              <w:left w:w="80" w:type="dxa"/>
              <w:bottom w:w="80" w:type="dxa"/>
              <w:right w:w="80" w:type="dxa"/>
            </w:tcMar>
          </w:tcPr>
          <w:p w14:paraId="2BD05901" w14:textId="77777777" w:rsidR="00B357C6" w:rsidRDefault="00000000">
            <w:pPr>
              <w:jc w:val="center"/>
            </w:pPr>
            <w:r>
              <w:rPr>
                <w:color w:val="374151"/>
                <w:sz w:val="18"/>
                <w:szCs w:val="18"/>
              </w:rPr>
              <w:t>Low</w:t>
            </w:r>
          </w:p>
        </w:tc>
      </w:tr>
    </w:tbl>
    <w:p w14:paraId="778C51F0" w14:textId="77777777" w:rsidR="00B357C6" w:rsidRDefault="00B357C6">
      <w:pPr>
        <w:spacing w:before="80" w:after="80"/>
      </w:pPr>
    </w:p>
    <w:p w14:paraId="5D30510F" w14:textId="77777777" w:rsidR="00B357C6" w:rsidRDefault="00B357C6">
      <w:pPr>
        <w:pBdr>
          <w:bottom w:val="single" w:sz="2" w:space="1" w:color="E5E7EB"/>
        </w:pBdr>
        <w:spacing w:before="200" w:after="200"/>
      </w:pPr>
    </w:p>
    <w:p w14:paraId="21A28371" w14:textId="77777777" w:rsidR="00B357C6" w:rsidRDefault="00000000">
      <w:pPr>
        <w:pStyle w:val="Heading1"/>
      </w:pPr>
      <w:r>
        <w:t xml:space="preserve">4. </w:t>
      </w:r>
      <w:proofErr w:type="spellStart"/>
      <w:r>
        <w:t>Conclusion</w:t>
      </w:r>
      <w:proofErr w:type="spellEnd"/>
    </w:p>
    <w:p w14:paraId="72995B77" w14:textId="77777777" w:rsidR="00B357C6" w:rsidRPr="00141096" w:rsidRDefault="00000000">
      <w:pPr>
        <w:spacing w:before="80" w:after="80"/>
        <w:rPr>
          <w:lang w:val="en-US"/>
        </w:rPr>
      </w:pPr>
      <w:r w:rsidRPr="00141096">
        <w:rPr>
          <w:color w:val="374151"/>
          <w:lang w:val="en-US"/>
        </w:rPr>
        <w:t>The overall residual risk of DPO Agent is assessed as LOW. The service is designed with privacy by design principles, processes minimal personal data, retains no conversation data, and operates on EU-based infrastructure with enterprise-grade security controls.</w:t>
      </w:r>
    </w:p>
    <w:p w14:paraId="0056E722" w14:textId="77777777" w:rsidR="00B357C6" w:rsidRPr="00141096" w:rsidRDefault="00000000">
      <w:pPr>
        <w:spacing w:before="80" w:after="80"/>
        <w:rPr>
          <w:lang w:val="en-US"/>
        </w:rPr>
      </w:pPr>
      <w:r w:rsidRPr="00141096">
        <w:rPr>
          <w:color w:val="374151"/>
          <w:lang w:val="en-US"/>
        </w:rPr>
        <w:t>The primary risk — incorrect AI-generated guidance — is mitigated through strict system prompt controls, mandatory source citations, and clear disclaimers. Users are consistently reminded that DPO Agent provides guidance, not legal advice.</w:t>
      </w:r>
    </w:p>
    <w:p w14:paraId="20EDC36B" w14:textId="77777777" w:rsidR="00B357C6" w:rsidRPr="00141096" w:rsidRDefault="00B357C6">
      <w:pPr>
        <w:spacing w:before="80" w:after="80"/>
        <w:rPr>
          <w:lang w:val="en-US"/>
        </w:rPr>
      </w:pPr>
    </w:p>
    <w:p w14:paraId="5C6E9EF6" w14:textId="77777777" w:rsidR="00B357C6" w:rsidRPr="00141096" w:rsidRDefault="00000000">
      <w:pPr>
        <w:pBdr>
          <w:top w:val="single" w:sz="1" w:space="1" w:color="CCCCCC"/>
        </w:pBdr>
        <w:spacing w:before="240"/>
        <w:rPr>
          <w:lang w:val="en-US"/>
        </w:rPr>
      </w:pPr>
      <w:r w:rsidRPr="00141096">
        <w:rPr>
          <w:i/>
          <w:iCs/>
          <w:color w:val="6B7280"/>
          <w:sz w:val="18"/>
          <w:szCs w:val="18"/>
          <w:lang w:val="en-US"/>
        </w:rPr>
        <w:t xml:space="preserve">DPO Agent </w:t>
      </w:r>
      <w:proofErr w:type="spellStart"/>
      <w:r w:rsidRPr="00141096">
        <w:rPr>
          <w:i/>
          <w:iCs/>
          <w:color w:val="6B7280"/>
          <w:sz w:val="18"/>
          <w:szCs w:val="18"/>
          <w:lang w:val="en-US"/>
        </w:rPr>
        <w:t>ApS</w:t>
      </w:r>
      <w:proofErr w:type="spellEnd"/>
      <w:r w:rsidRPr="00141096">
        <w:rPr>
          <w:i/>
          <w:iCs/>
          <w:color w:val="6B7280"/>
          <w:sz w:val="18"/>
          <w:szCs w:val="18"/>
          <w:lang w:val="en-US"/>
        </w:rPr>
        <w:t xml:space="preserve"> · dpoagent.dk · June 2026 · Confidential</w:t>
      </w:r>
    </w:p>
    <w:sectPr w:rsidR="00B357C6" w:rsidRPr="001410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B11CC"/>
    <w:multiLevelType w:val="hybridMultilevel"/>
    <w:tmpl w:val="EBD02EFA"/>
    <w:lvl w:ilvl="0" w:tplc="93C0C94E">
      <w:start w:val="1"/>
      <w:numFmt w:val="decimal"/>
      <w:lvlText w:val="%1."/>
      <w:lvlJc w:val="left"/>
      <w:pPr>
        <w:ind w:left="720" w:hanging="360"/>
      </w:pPr>
    </w:lvl>
    <w:lvl w:ilvl="1" w:tplc="2BACEF38">
      <w:numFmt w:val="decimal"/>
      <w:lvlText w:val=""/>
      <w:lvlJc w:val="left"/>
    </w:lvl>
    <w:lvl w:ilvl="2" w:tplc="D4DA28F2">
      <w:numFmt w:val="decimal"/>
      <w:lvlText w:val=""/>
      <w:lvlJc w:val="left"/>
    </w:lvl>
    <w:lvl w:ilvl="3" w:tplc="1A5CA50E">
      <w:numFmt w:val="decimal"/>
      <w:lvlText w:val=""/>
      <w:lvlJc w:val="left"/>
    </w:lvl>
    <w:lvl w:ilvl="4" w:tplc="837A7040">
      <w:numFmt w:val="decimal"/>
      <w:lvlText w:val=""/>
      <w:lvlJc w:val="left"/>
    </w:lvl>
    <w:lvl w:ilvl="5" w:tplc="C5FE287A">
      <w:numFmt w:val="decimal"/>
      <w:lvlText w:val=""/>
      <w:lvlJc w:val="left"/>
    </w:lvl>
    <w:lvl w:ilvl="6" w:tplc="3524EFB2">
      <w:numFmt w:val="decimal"/>
      <w:lvlText w:val=""/>
      <w:lvlJc w:val="left"/>
    </w:lvl>
    <w:lvl w:ilvl="7" w:tplc="3044EF6A">
      <w:numFmt w:val="decimal"/>
      <w:lvlText w:val=""/>
      <w:lvlJc w:val="left"/>
    </w:lvl>
    <w:lvl w:ilvl="8" w:tplc="3E546EC0">
      <w:numFmt w:val="decimal"/>
      <w:lvlText w:val=""/>
      <w:lvlJc w:val="left"/>
    </w:lvl>
  </w:abstractNum>
  <w:abstractNum w:abstractNumId="1" w15:restartNumberingAfterBreak="0">
    <w:nsid w:val="15B90916"/>
    <w:multiLevelType w:val="hybridMultilevel"/>
    <w:tmpl w:val="7A8E2A9C"/>
    <w:lvl w:ilvl="0" w:tplc="06E4C400">
      <w:start w:val="1"/>
      <w:numFmt w:val="bullet"/>
      <w:lvlText w:val="•"/>
      <w:lvlJc w:val="left"/>
      <w:pPr>
        <w:ind w:left="720" w:hanging="360"/>
      </w:pPr>
    </w:lvl>
    <w:lvl w:ilvl="1" w:tplc="EFDA476C">
      <w:numFmt w:val="decimal"/>
      <w:lvlText w:val=""/>
      <w:lvlJc w:val="left"/>
    </w:lvl>
    <w:lvl w:ilvl="2" w:tplc="747C3324">
      <w:numFmt w:val="decimal"/>
      <w:lvlText w:val=""/>
      <w:lvlJc w:val="left"/>
    </w:lvl>
    <w:lvl w:ilvl="3" w:tplc="46B60372">
      <w:numFmt w:val="decimal"/>
      <w:lvlText w:val=""/>
      <w:lvlJc w:val="left"/>
    </w:lvl>
    <w:lvl w:ilvl="4" w:tplc="78DCEC18">
      <w:numFmt w:val="decimal"/>
      <w:lvlText w:val=""/>
      <w:lvlJc w:val="left"/>
    </w:lvl>
    <w:lvl w:ilvl="5" w:tplc="E3CA564C">
      <w:numFmt w:val="decimal"/>
      <w:lvlText w:val=""/>
      <w:lvlJc w:val="left"/>
    </w:lvl>
    <w:lvl w:ilvl="6" w:tplc="19901DFC">
      <w:numFmt w:val="decimal"/>
      <w:lvlText w:val=""/>
      <w:lvlJc w:val="left"/>
    </w:lvl>
    <w:lvl w:ilvl="7" w:tplc="98F4377A">
      <w:numFmt w:val="decimal"/>
      <w:lvlText w:val=""/>
      <w:lvlJc w:val="left"/>
    </w:lvl>
    <w:lvl w:ilvl="8" w:tplc="BC28BEAA">
      <w:numFmt w:val="decimal"/>
      <w:lvlText w:val=""/>
      <w:lvlJc w:val="left"/>
    </w:lvl>
  </w:abstractNum>
  <w:abstractNum w:abstractNumId="2" w15:restartNumberingAfterBreak="0">
    <w:nsid w:val="721C7B9E"/>
    <w:multiLevelType w:val="hybridMultilevel"/>
    <w:tmpl w:val="EE6A1CBA"/>
    <w:lvl w:ilvl="0" w:tplc="6C5447BC">
      <w:start w:val="1"/>
      <w:numFmt w:val="bullet"/>
      <w:lvlText w:val="●"/>
      <w:lvlJc w:val="left"/>
      <w:pPr>
        <w:ind w:left="720" w:hanging="360"/>
      </w:pPr>
    </w:lvl>
    <w:lvl w:ilvl="1" w:tplc="5468B328">
      <w:start w:val="1"/>
      <w:numFmt w:val="bullet"/>
      <w:lvlText w:val="○"/>
      <w:lvlJc w:val="left"/>
      <w:pPr>
        <w:ind w:left="1440" w:hanging="360"/>
      </w:pPr>
    </w:lvl>
    <w:lvl w:ilvl="2" w:tplc="AD8C7968">
      <w:start w:val="1"/>
      <w:numFmt w:val="bullet"/>
      <w:lvlText w:val="■"/>
      <w:lvlJc w:val="left"/>
      <w:pPr>
        <w:ind w:left="2160" w:hanging="360"/>
      </w:pPr>
    </w:lvl>
    <w:lvl w:ilvl="3" w:tplc="16A89986">
      <w:start w:val="1"/>
      <w:numFmt w:val="bullet"/>
      <w:lvlText w:val="●"/>
      <w:lvlJc w:val="left"/>
      <w:pPr>
        <w:ind w:left="2880" w:hanging="360"/>
      </w:pPr>
    </w:lvl>
    <w:lvl w:ilvl="4" w:tplc="375E702A">
      <w:start w:val="1"/>
      <w:numFmt w:val="bullet"/>
      <w:lvlText w:val="○"/>
      <w:lvlJc w:val="left"/>
      <w:pPr>
        <w:ind w:left="3600" w:hanging="360"/>
      </w:pPr>
    </w:lvl>
    <w:lvl w:ilvl="5" w:tplc="6F6ABC7E">
      <w:start w:val="1"/>
      <w:numFmt w:val="bullet"/>
      <w:lvlText w:val="■"/>
      <w:lvlJc w:val="left"/>
      <w:pPr>
        <w:ind w:left="4320" w:hanging="360"/>
      </w:pPr>
    </w:lvl>
    <w:lvl w:ilvl="6" w:tplc="C0E46730">
      <w:start w:val="1"/>
      <w:numFmt w:val="bullet"/>
      <w:lvlText w:val="●"/>
      <w:lvlJc w:val="left"/>
      <w:pPr>
        <w:ind w:left="5040" w:hanging="360"/>
      </w:pPr>
    </w:lvl>
    <w:lvl w:ilvl="7" w:tplc="258E0172">
      <w:start w:val="1"/>
      <w:numFmt w:val="bullet"/>
      <w:lvlText w:val="●"/>
      <w:lvlJc w:val="left"/>
      <w:pPr>
        <w:ind w:left="5760" w:hanging="360"/>
      </w:pPr>
    </w:lvl>
    <w:lvl w:ilvl="8" w:tplc="BCD00726">
      <w:start w:val="1"/>
      <w:numFmt w:val="bullet"/>
      <w:lvlText w:val="●"/>
      <w:lvlJc w:val="left"/>
      <w:pPr>
        <w:ind w:left="6480" w:hanging="360"/>
      </w:pPr>
    </w:lvl>
  </w:abstractNum>
  <w:num w:numId="1" w16cid:durableId="2078236463">
    <w:abstractNumId w:val="2"/>
    <w:lvlOverride w:ilvl="0">
      <w:startOverride w:val="1"/>
    </w:lvlOverride>
  </w:num>
  <w:num w:numId="2" w16cid:durableId="154536524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7C6"/>
    <w:rsid w:val="00141096"/>
    <w:rsid w:val="003F096C"/>
    <w:rsid w:val="00B357C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1F690"/>
  <w15:docId w15:val="{C50B1DC8-D09D-4F63-A6F8-C096AB126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00" w:after="120"/>
      <w:outlineLvl w:val="0"/>
    </w:pPr>
    <w:rPr>
      <w:b/>
      <w:bCs/>
      <w:color w:val="0D2B5E"/>
      <w:sz w:val="28"/>
      <w:szCs w:val="28"/>
    </w:rPr>
  </w:style>
  <w:style w:type="paragraph" w:styleId="Heading2">
    <w:name w:val="heading 2"/>
    <w:uiPriority w:val="9"/>
    <w:unhideWhenUsed/>
    <w:qFormat/>
    <w:pPr>
      <w:spacing w:before="280" w:after="80"/>
      <w:outlineLvl w:val="1"/>
    </w:pPr>
    <w:rPr>
      <w:b/>
      <w:bCs/>
      <w:color w:val="0D2B5E"/>
      <w:sz w:val="24"/>
      <w:szCs w:val="24"/>
    </w:rPr>
  </w:style>
  <w:style w:type="paragraph" w:styleId="Heading3">
    <w:name w:val="heading 3"/>
    <w:uiPriority w:val="9"/>
    <w:semiHidden/>
    <w:unhideWhenUsed/>
    <w:qFormat/>
    <w:pPr>
      <w:spacing w:before="200" w:after="60"/>
      <w:outlineLvl w:val="2"/>
    </w:pPr>
    <w:rPr>
      <w:b/>
      <w:bCs/>
      <w:color w:val="0D2B5E"/>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682</Words>
  <Characters>3902</Characters>
  <Application>Microsoft Office Word</Application>
  <DocSecurity>0</DocSecurity>
  <Lines>153</Lines>
  <Paragraphs>85</Paragraphs>
  <ScaleCrop>false</ScaleCrop>
  <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Janick Navne</cp:lastModifiedBy>
  <cp:revision>2</cp:revision>
  <dcterms:created xsi:type="dcterms:W3CDTF">2026-06-08T04:57:00Z</dcterms:created>
  <dcterms:modified xsi:type="dcterms:W3CDTF">2026-06-08T05:11:00Z</dcterms:modified>
</cp:coreProperties>
</file>