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D2B5E" w:sz="6" w:space="1"/>
        </w:pBdr>
        <w:spacing w:after="120" w:before="0"/>
        <w:jc w:val="center"/>
      </w:pPr>
      <w:r>
        <w:rPr>
          <w:rFonts w:ascii="Arial" w:cs="Arial" w:eastAsia="Arial" w:hAnsi="Arial"/>
          <w:b/>
          <w:bCs/>
          <w:color w:val="0D2B5E"/>
          <w:sz w:val="36"/>
          <w:szCs w:val="36"/>
        </w:rPr>
        <w:t xml:space="preserve">DPO Agent</w:t>
      </w:r>
    </w:p>
    <w:p>
      <w:pPr>
        <w:spacing w:after="60" w:before="80"/>
        <w:jc w:val="center"/>
      </w:pPr>
      <w:r>
        <w:rPr>
          <w:rFonts w:ascii="Arial" w:cs="Arial" w:eastAsia="Arial" w:hAnsi="Arial"/>
          <w:b/>
          <w:bCs/>
          <w:color w:val="0D2B5E"/>
          <w:sz w:val="28"/>
          <w:szCs w:val="28"/>
        </w:rPr>
        <w:t xml:space="preserve">Data Protection Impact Assessment (DPIA)</w:t>
      </w:r>
    </w:p>
    <w:p>
      <w:pPr>
        <w:spacing w:after="480" w:before="0"/>
        <w:jc w:val="center"/>
      </w:pPr>
      <w:r>
        <w:rPr>
          <w:rFonts w:ascii="Arial" w:cs="Arial" w:eastAsia="Arial" w:hAnsi="Arial"/>
          <w:i/>
          <w:iCs/>
          <w:color w:val="6b7280"/>
          <w:sz w:val="18"/>
          <w:szCs w:val="18"/>
        </w:rPr>
        <w:t xml:space="preserve">DPO Agent — Version 1.0 · June 2026 · GDPR Article 35</w:t>
      </w: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1. Introduction</w:t>
      </w:r>
    </w:p>
    <w:p>
      <w:pPr>
        <w:spacing w:after="80" w:before="80"/>
      </w:pPr>
      <w:r>
        <w:rPr>
          <w:rFonts w:ascii="Arial" w:cs="Arial" w:eastAsia="Arial" w:hAnsi="Arial"/>
          <w:color w:val="374151"/>
          <w:sz w:val="22"/>
          <w:szCs w:val="22"/>
        </w:rPr>
        <w:t xml:space="preserve">This Data Protection Impact Assessment (DPIA) has been prepared in accordance with GDPR Article 35. A DPIA is required where processing is likely to result in a high risk to the rights and freedoms of natural persons. DPO Agent has conducted this DPIA voluntarily as part of its commitment to privacy by design and transparency.</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Document type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DPIA — Data Protection Impact Assessment</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Legal basis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GDPR Article 35</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Service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DPO Agent — AI-powered DPO guidance</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Data controller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DPO Agent ApS, Damgårdsvej 39, 3460 Birkerød, Denmark</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DPO contact</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contact@dpoagent.dk</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Date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June 2026</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Version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1.0</w:t>
            </w:r>
          </w:p>
        </w:tc>
      </w:tr>
    </w:tbl>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2. Description of Processing</w:t>
      </w:r>
    </w:p>
    <w:p>
      <w:pPr>
        <w:pStyle w:val="Heading2"/>
        <w:spacing w:after="80" w:before="280"/>
      </w:pPr>
      <w:r>
        <w:rPr>
          <w:rFonts w:ascii="Arial" w:cs="Arial" w:eastAsia="Arial" w:hAnsi="Arial"/>
          <w:b/>
          <w:bCs/>
          <w:color w:val="0D2B5E"/>
          <w:sz w:val="24"/>
          <w:szCs w:val="24"/>
        </w:rPr>
        <w:t xml:space="preserve">2.1 Nature of processing</w:t>
      </w:r>
    </w:p>
    <w:p>
      <w:pPr>
        <w:spacing w:after="80" w:before="80"/>
      </w:pPr>
      <w:r>
        <w:rPr>
          <w:rFonts w:ascii="Arial" w:cs="Arial" w:eastAsia="Arial" w:hAnsi="Arial"/>
          <w:color w:val="374151"/>
          <w:sz w:val="22"/>
          <w:szCs w:val="22"/>
        </w:rPr>
        <w:t xml:space="preserve">DPO Agent processes user queries submitted via a web-based chat interface. Queries are processed by Azure OpenAI (GPT-4o) to generate legal guidance responses. The service uses Retrieval-Augmented Generation (RAG): user queries are matched against a knowledge base of legal sources, and the retrieved excerpts are used to ground GPT-4o responses.</w:t>
      </w:r>
    </w:p>
    <w:p>
      <w:pPr>
        <w:spacing w:after="80" w:before="80"/>
      </w:pPr>
    </w:p>
    <w:p>
      <w:pPr>
        <w:pStyle w:val="Heading2"/>
        <w:spacing w:after="80" w:before="280"/>
      </w:pPr>
      <w:r>
        <w:rPr>
          <w:rFonts w:ascii="Arial" w:cs="Arial" w:eastAsia="Arial" w:hAnsi="Arial"/>
          <w:b/>
          <w:bCs/>
          <w:color w:val="0D2B5E"/>
          <w:sz w:val="24"/>
          <w:szCs w:val="24"/>
        </w:rPr>
        <w:t xml:space="preserve">2.2 Purpose of processing</w:t>
      </w:r>
    </w:p>
    <w:p>
      <w:pPr>
        <w:spacing w:after="80" w:before="80"/>
      </w:pPr>
      <w:r>
        <w:rPr>
          <w:rFonts w:ascii="Arial" w:cs="Arial" w:eastAsia="Arial" w:hAnsi="Arial"/>
          <w:color w:val="374151"/>
          <w:sz w:val="22"/>
          <w:szCs w:val="22"/>
        </w:rPr>
        <w:t xml:space="preserve">The purpose of processing is to provide accurate, source-grounded legal guidance to data protection professionals. Processing is necessary for the performance of the service contracted by the customer.</w:t>
      </w:r>
    </w:p>
    <w:p>
      <w:pPr>
        <w:spacing w:after="80" w:before="80"/>
      </w:pPr>
    </w:p>
    <w:p>
      <w:pPr>
        <w:pStyle w:val="Heading2"/>
        <w:spacing w:after="80" w:before="280"/>
      </w:pPr>
      <w:r>
        <w:rPr>
          <w:rFonts w:ascii="Arial" w:cs="Arial" w:eastAsia="Arial" w:hAnsi="Arial"/>
          <w:b/>
          <w:bCs/>
          <w:color w:val="0D2B5E"/>
          <w:sz w:val="24"/>
          <w:szCs w:val="24"/>
        </w:rPr>
        <w:t xml:space="preserve">2.3 Legal basis</w:t>
      </w:r>
    </w:p>
    <w:p>
      <w:pPr>
        <w:pStyle w:val="ListParagraph"/>
        <w:numPr>
          <w:ilvl w:val="0"/>
          <w:numId w:val="2"/>
        </w:numPr>
        <w:spacing w:after="40" w:before="40"/>
      </w:pPr>
      <w:r>
        <w:rPr>
          <w:rFonts w:ascii="Arial" w:cs="Arial" w:eastAsia="Arial" w:hAnsi="Arial"/>
          <w:color w:val="374151"/>
          <w:sz w:val="22"/>
          <w:szCs w:val="22"/>
        </w:rPr>
        <w:t xml:space="preserve">Authentication data: GDPR Article 6(1)(b) — performance of a contract</w:t>
      </w:r>
    </w:p>
    <w:p>
      <w:pPr>
        <w:pStyle w:val="ListParagraph"/>
        <w:numPr>
          <w:ilvl w:val="0"/>
          <w:numId w:val="2"/>
        </w:numPr>
        <w:spacing w:after="40" w:before="40"/>
      </w:pPr>
      <w:r>
        <w:rPr>
          <w:rFonts w:ascii="Arial" w:cs="Arial" w:eastAsia="Arial" w:hAnsi="Arial"/>
          <w:color w:val="374151"/>
          <w:sz w:val="22"/>
          <w:szCs w:val="22"/>
        </w:rPr>
        <w:t xml:space="preserve">User queries: GDPR Article 6(1)(b) — performance of a contract</w:t>
      </w:r>
    </w:p>
    <w:p>
      <w:pPr>
        <w:pStyle w:val="ListParagraph"/>
        <w:numPr>
          <w:ilvl w:val="0"/>
          <w:numId w:val="2"/>
        </w:numPr>
        <w:spacing w:after="40" w:before="40"/>
      </w:pPr>
      <w:r>
        <w:rPr>
          <w:rFonts w:ascii="Arial" w:cs="Arial" w:eastAsia="Arial" w:hAnsi="Arial"/>
          <w:color w:val="374151"/>
          <w:sz w:val="22"/>
          <w:szCs w:val="22"/>
        </w:rPr>
        <w:t xml:space="preserve">Contact form: GDPR Article 6(1)(b) — performance of a contract / Article 6(1)(f) — legitimate interests</w:t>
      </w:r>
    </w:p>
    <w:p>
      <w:pPr>
        <w:spacing w:after="80" w:before="80"/>
      </w:pPr>
    </w:p>
    <w:p>
      <w:pPr>
        <w:pStyle w:val="Heading2"/>
        <w:spacing w:after="80" w:before="280"/>
      </w:pPr>
      <w:r>
        <w:rPr>
          <w:rFonts w:ascii="Arial" w:cs="Arial" w:eastAsia="Arial" w:hAnsi="Arial"/>
          <w:b/>
          <w:bCs/>
          <w:color w:val="0D2B5E"/>
          <w:sz w:val="24"/>
          <w:szCs w:val="24"/>
        </w:rPr>
        <w:t xml:space="preserve">2.4 Categories of personal data</w:t>
      </w:r>
    </w:p>
    <w:p>
      <w:pPr>
        <w:spacing w:after="80" w:before="80"/>
      </w:pPr>
      <w:r>
        <w:rPr>
          <w:rFonts w:ascii="Arial" w:cs="Arial" w:eastAsia="Arial" w:hAnsi="Arial"/>
          <w:color w:val="374151"/>
          <w:sz w:val="22"/>
          <w:szCs w:val="22"/>
        </w:rPr>
        <w:t xml:space="preserve">DPO Agent processes minimal personal data:</w:t>
      </w:r>
    </w:p>
    <w:p>
      <w:pPr>
        <w:pStyle w:val="ListParagraph"/>
        <w:numPr>
          <w:ilvl w:val="0"/>
          <w:numId w:val="2"/>
        </w:numPr>
        <w:spacing w:after="40" w:before="40"/>
      </w:pPr>
      <w:r>
        <w:rPr>
          <w:rFonts w:ascii="Arial" w:cs="Arial" w:eastAsia="Arial" w:hAnsi="Arial"/>
          <w:color w:val="374151"/>
          <w:sz w:val="22"/>
          <w:szCs w:val="22"/>
        </w:rPr>
        <w:t xml:space="preserve">Microsoft account data: name, email address (authentication only)</w:t>
      </w:r>
    </w:p>
    <w:p>
      <w:pPr>
        <w:pStyle w:val="ListParagraph"/>
        <w:numPr>
          <w:ilvl w:val="0"/>
          <w:numId w:val="2"/>
        </w:numPr>
        <w:spacing w:after="40" w:before="40"/>
      </w:pPr>
      <w:r>
        <w:rPr>
          <w:rFonts w:ascii="Arial" w:cs="Arial" w:eastAsia="Arial" w:hAnsi="Arial"/>
          <w:color w:val="374151"/>
          <w:sz w:val="22"/>
          <w:szCs w:val="22"/>
        </w:rPr>
        <w:t xml:space="preserve">User queries: text submitted by users — may incidentally contain personal data</w:t>
      </w:r>
    </w:p>
    <w:p>
      <w:pPr>
        <w:pStyle w:val="ListParagraph"/>
        <w:numPr>
          <w:ilvl w:val="0"/>
          <w:numId w:val="2"/>
        </w:numPr>
        <w:spacing w:after="40" w:before="40"/>
      </w:pPr>
      <w:r>
        <w:rPr>
          <w:rFonts w:ascii="Arial" w:cs="Arial" w:eastAsia="Arial" w:hAnsi="Arial"/>
          <w:color w:val="374151"/>
          <w:sz w:val="22"/>
          <w:szCs w:val="22"/>
        </w:rPr>
        <w:t xml:space="preserve">Contact form: name, email, company name, message content</w:t>
      </w:r>
    </w:p>
    <w:p>
      <w:pPr>
        <w:spacing w:after="80" w:before="80"/>
      </w:pPr>
    </w:p>
    <w:p>
      <w:pPr>
        <w:pStyle w:val="Heading2"/>
        <w:spacing w:after="80" w:before="280"/>
      </w:pPr>
      <w:r>
        <w:rPr>
          <w:rFonts w:ascii="Arial" w:cs="Arial" w:eastAsia="Arial" w:hAnsi="Arial"/>
          <w:b/>
          <w:bCs/>
          <w:color w:val="0D2B5E"/>
          <w:sz w:val="24"/>
          <w:szCs w:val="24"/>
        </w:rPr>
        <w:t xml:space="preserve">2.5 Data subjects</w:t>
      </w:r>
    </w:p>
    <w:p>
      <w:pPr>
        <w:spacing w:after="80" w:before="80"/>
      </w:pPr>
      <w:r>
        <w:rPr>
          <w:rFonts w:ascii="Arial" w:cs="Arial" w:eastAsia="Arial" w:hAnsi="Arial"/>
          <w:color w:val="374151"/>
          <w:sz w:val="22"/>
          <w:szCs w:val="22"/>
        </w:rPr>
        <w:t xml:space="preserve">Primary data subjects are employees of customer organisations who use DPO Agent as part of their professional role. These are professionals (DPOs, compliance officers, legal staff) who interact with the service voluntarily as part of their work.</w:t>
      </w:r>
    </w:p>
    <w:p>
      <w:pPr>
        <w:spacing w:after="80" w:before="80"/>
      </w:pPr>
    </w:p>
    <w:p>
      <w:pPr>
        <w:pStyle w:val="Heading2"/>
        <w:spacing w:after="80" w:before="280"/>
      </w:pPr>
      <w:r>
        <w:rPr>
          <w:rFonts w:ascii="Arial" w:cs="Arial" w:eastAsia="Arial" w:hAnsi="Arial"/>
          <w:b/>
          <w:bCs/>
          <w:color w:val="0D2B5E"/>
          <w:sz w:val="24"/>
          <w:szCs w:val="24"/>
        </w:rPr>
        <w:t xml:space="preserve">2.6 Recipients</w:t>
      </w:r>
    </w:p>
    <w:p>
      <w:pPr>
        <w:pStyle w:val="ListParagraph"/>
        <w:numPr>
          <w:ilvl w:val="0"/>
          <w:numId w:val="2"/>
        </w:numPr>
        <w:spacing w:after="40" w:before="40"/>
      </w:pPr>
      <w:r>
        <w:rPr>
          <w:rFonts w:ascii="Arial" w:cs="Arial" w:eastAsia="Arial" w:hAnsi="Arial"/>
          <w:color w:val="374151"/>
          <w:sz w:val="22"/>
          <w:szCs w:val="22"/>
        </w:rPr>
        <w:t xml:space="preserve">Microsoft Azure (OpenAI, Entra ID, Blob Storage, Functions) — infrastructure provider, data processor</w:t>
      </w:r>
    </w:p>
    <w:p>
      <w:pPr>
        <w:pStyle w:val="ListParagraph"/>
        <w:numPr>
          <w:ilvl w:val="0"/>
          <w:numId w:val="2"/>
        </w:numPr>
        <w:spacing w:after="40" w:before="40"/>
      </w:pPr>
      <w:r>
        <w:rPr>
          <w:rFonts w:ascii="Arial" w:cs="Arial" w:eastAsia="Arial" w:hAnsi="Arial"/>
          <w:color w:val="374151"/>
          <w:sz w:val="22"/>
          <w:szCs w:val="22"/>
        </w:rPr>
        <w:t xml:space="preserve">SendGrid (Twilio) — email delivery, data processor</w:t>
      </w:r>
    </w:p>
    <w:p>
      <w:pPr>
        <w:pStyle w:val="ListParagraph"/>
        <w:numPr>
          <w:ilvl w:val="0"/>
          <w:numId w:val="2"/>
        </w:numPr>
        <w:spacing w:after="40" w:before="40"/>
      </w:pPr>
      <w:r>
        <w:rPr>
          <w:rFonts w:ascii="Arial" w:cs="Arial" w:eastAsia="Arial" w:hAnsi="Arial"/>
          <w:color w:val="374151"/>
          <w:sz w:val="22"/>
          <w:szCs w:val="22"/>
        </w:rPr>
        <w:t xml:space="preserve">DPO Agent ApS — data controller</w:t>
      </w:r>
    </w:p>
    <w:p>
      <w:pPr>
        <w:spacing w:after="80" w:before="80"/>
      </w:pPr>
    </w:p>
    <w:p>
      <w:pPr>
        <w:pStyle w:val="Heading2"/>
        <w:spacing w:after="80" w:before="280"/>
      </w:pPr>
      <w:r>
        <w:rPr>
          <w:rFonts w:ascii="Arial" w:cs="Arial" w:eastAsia="Arial" w:hAnsi="Arial"/>
          <w:b/>
          <w:bCs/>
          <w:color w:val="0D2B5E"/>
          <w:sz w:val="24"/>
          <w:szCs w:val="24"/>
        </w:rPr>
        <w:t xml:space="preserve">2.7 International transfers</w:t>
      </w:r>
    </w:p>
    <w:p>
      <w:pPr>
        <w:spacing w:after="80" w:before="80"/>
      </w:pPr>
      <w:r>
        <w:rPr>
          <w:rFonts w:ascii="Arial" w:cs="Arial" w:eastAsia="Arial" w:hAnsi="Arial"/>
          <w:color w:val="374151"/>
          <w:sz w:val="22"/>
          <w:szCs w:val="22"/>
        </w:rPr>
        <w:t xml:space="preserve">All infrastructure is hosted in Microsoft Azure Sweden Central (EU/EEA). No personal data is transferred outside the EU/EEA. Microsoft's standard contractual clauses and data protection addendum are in place.</w:t>
      </w:r>
    </w:p>
    <w:p>
      <w:pPr>
        <w:spacing w:after="80" w:before="80"/>
      </w:pPr>
    </w:p>
    <w:p>
      <w:pPr>
        <w:pStyle w:val="Heading2"/>
        <w:spacing w:after="80" w:before="280"/>
      </w:pPr>
      <w:r>
        <w:rPr>
          <w:rFonts w:ascii="Arial" w:cs="Arial" w:eastAsia="Arial" w:hAnsi="Arial"/>
          <w:b/>
          <w:bCs/>
          <w:color w:val="0D2B5E"/>
          <w:sz w:val="24"/>
          <w:szCs w:val="24"/>
        </w:rPr>
        <w:t xml:space="preserve">2.8 Retention</w:t>
      </w:r>
    </w:p>
    <w:p>
      <w:pPr>
        <w:spacing w:after="80" w:before="80"/>
      </w:pPr>
      <w:r>
        <w:rPr>
          <w:rFonts w:ascii="Arial" w:cs="Arial" w:eastAsia="Arial" w:hAnsi="Arial"/>
          <w:color w:val="374151"/>
          <w:sz w:val="22"/>
          <w:szCs w:val="22"/>
        </w:rPr>
        <w:t xml:space="preserve">User queries and AI responses: ZERO retention. Azure OpenAI is configured with zero data retention — queries are not stored after processing. Authentication data (Entra ID): retained for the duration of the subscription. Contact form data: retained for up to 3 years for contractual purposes.</w:t>
      </w:r>
    </w:p>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3. Necessity and Proportionality</w:t>
      </w:r>
    </w:p>
    <w:p>
      <w:pPr>
        <w:spacing w:after="80" w:before="80"/>
      </w:pPr>
      <w:r>
        <w:rPr>
          <w:rFonts w:ascii="Arial" w:cs="Arial" w:eastAsia="Arial" w:hAnsi="Arial"/>
          <w:color w:val="374151"/>
          <w:sz w:val="22"/>
          <w:szCs w:val="22"/>
        </w:rPr>
        <w:t xml:space="preserve">The processing is necessary and proportionate to the purpose of providing legal guidance:</w:t>
      </w:r>
    </w:p>
    <w:p>
      <w:pPr>
        <w:pStyle w:val="ListParagraph"/>
        <w:numPr>
          <w:ilvl w:val="0"/>
          <w:numId w:val="2"/>
        </w:numPr>
        <w:spacing w:after="40" w:before="40"/>
      </w:pPr>
      <w:r>
        <w:rPr>
          <w:rFonts w:ascii="Arial" w:cs="Arial" w:eastAsia="Arial" w:hAnsi="Arial"/>
          <w:color w:val="374151"/>
          <w:sz w:val="22"/>
          <w:szCs w:val="22"/>
        </w:rPr>
        <w:t xml:space="preserve">User queries must be processed to generate a response — this is the core function of the service</w:t>
      </w:r>
    </w:p>
    <w:p>
      <w:pPr>
        <w:pStyle w:val="ListParagraph"/>
        <w:numPr>
          <w:ilvl w:val="0"/>
          <w:numId w:val="2"/>
        </w:numPr>
        <w:spacing w:after="40" w:before="40"/>
      </w:pPr>
      <w:r>
        <w:rPr>
          <w:rFonts w:ascii="Arial" w:cs="Arial" w:eastAsia="Arial" w:hAnsi="Arial"/>
          <w:color w:val="374151"/>
          <w:sz w:val="22"/>
          <w:szCs w:val="22"/>
        </w:rPr>
        <w:t xml:space="preserve">Authentication data is minimal — only name and email, collected via existing Microsoft accounts</w:t>
      </w:r>
    </w:p>
    <w:p>
      <w:pPr>
        <w:pStyle w:val="ListParagraph"/>
        <w:numPr>
          <w:ilvl w:val="0"/>
          <w:numId w:val="2"/>
        </w:numPr>
        <w:spacing w:after="40" w:before="40"/>
      </w:pPr>
      <w:r>
        <w:rPr>
          <w:rFonts w:ascii="Arial" w:cs="Arial" w:eastAsia="Arial" w:hAnsi="Arial"/>
          <w:color w:val="374151"/>
          <w:sz w:val="22"/>
          <w:szCs w:val="22"/>
        </w:rPr>
        <w:t xml:space="preserve">No special categories of personal data are processed by the service</w:t>
      </w:r>
    </w:p>
    <w:p>
      <w:pPr>
        <w:pStyle w:val="ListParagraph"/>
        <w:numPr>
          <w:ilvl w:val="0"/>
          <w:numId w:val="2"/>
        </w:numPr>
        <w:spacing w:after="40" w:before="40"/>
      </w:pPr>
      <w:r>
        <w:rPr>
          <w:rFonts w:ascii="Arial" w:cs="Arial" w:eastAsia="Arial" w:hAnsi="Arial"/>
          <w:color w:val="374151"/>
          <w:sz w:val="22"/>
          <w:szCs w:val="22"/>
        </w:rPr>
        <w:t xml:space="preserve">Zero retention on queries ensures that personal data incidentally included in queries is not stored</w:t>
      </w:r>
    </w:p>
    <w:p>
      <w:pPr>
        <w:pStyle w:val="ListParagraph"/>
        <w:numPr>
          <w:ilvl w:val="0"/>
          <w:numId w:val="2"/>
        </w:numPr>
        <w:spacing w:after="40" w:before="40"/>
      </w:pPr>
      <w:r>
        <w:rPr>
          <w:rFonts w:ascii="Arial" w:cs="Arial" w:eastAsia="Arial" w:hAnsi="Arial"/>
          <w:color w:val="374151"/>
          <w:sz w:val="22"/>
          <w:szCs w:val="22"/>
        </w:rPr>
        <w:t xml:space="preserve">Data minimisation is achieved through the design of the service — no user profiles, no usage analytics, no advertising</w:t>
      </w:r>
    </w:p>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4. Risks to Rights and Freedoms</w:t>
      </w:r>
    </w:p>
    <w:p>
      <w:pPr>
        <w:pStyle w:val="Heading2"/>
        <w:spacing w:after="80" w:before="280"/>
      </w:pPr>
      <w:r>
        <w:rPr>
          <w:rFonts w:ascii="Arial" w:cs="Arial" w:eastAsia="Arial" w:hAnsi="Arial"/>
          <w:b/>
          <w:bCs/>
          <w:color w:val="0D2B5E"/>
          <w:sz w:val="24"/>
          <w:szCs w:val="24"/>
        </w:rPr>
        <w:t xml:space="preserve">4.1 Identified risks</w:t>
      </w:r>
    </w:p>
    <w:p>
      <w:pPr>
        <w:pStyle w:val="ListParagraph"/>
        <w:numPr>
          <w:ilvl w:val="0"/>
          <w:numId w:val="2"/>
        </w:numPr>
        <w:spacing w:after="40" w:before="40"/>
      </w:pPr>
      <w:r>
        <w:rPr>
          <w:rFonts w:ascii="Arial" w:cs="Arial" w:eastAsia="Arial" w:hAnsi="Arial"/>
          <w:color w:val="374151"/>
          <w:sz w:val="22"/>
          <w:szCs w:val="22"/>
        </w:rPr>
        <w:t xml:space="preserve">Risk of incorrect AI guidance: LOW — mitigated by knowledge base controls and mandatory disclaimers</w:t>
      </w:r>
    </w:p>
    <w:p>
      <w:pPr>
        <w:pStyle w:val="ListParagraph"/>
        <w:numPr>
          <w:ilvl w:val="0"/>
          <w:numId w:val="2"/>
        </w:numPr>
        <w:spacing w:after="40" w:before="40"/>
      </w:pPr>
      <w:r>
        <w:rPr>
          <w:rFonts w:ascii="Arial" w:cs="Arial" w:eastAsia="Arial" w:hAnsi="Arial"/>
          <w:color w:val="374151"/>
          <w:sz w:val="22"/>
          <w:szCs w:val="22"/>
        </w:rPr>
        <w:t xml:space="preserve">Risk of incidental personal data in queries: LOW — mitigated by zero retention policy</w:t>
      </w:r>
    </w:p>
    <w:p>
      <w:pPr>
        <w:pStyle w:val="ListParagraph"/>
        <w:numPr>
          <w:ilvl w:val="0"/>
          <w:numId w:val="2"/>
        </w:numPr>
        <w:spacing w:after="40" w:before="40"/>
      </w:pPr>
      <w:r>
        <w:rPr>
          <w:rFonts w:ascii="Arial" w:cs="Arial" w:eastAsia="Arial" w:hAnsi="Arial"/>
          <w:color w:val="374151"/>
          <w:sz w:val="22"/>
          <w:szCs w:val="22"/>
        </w:rPr>
        <w:t xml:space="preserve">Risk of unauthorised access: LOW — mitigated by Entra ID authentication</w:t>
      </w:r>
    </w:p>
    <w:p>
      <w:pPr>
        <w:pStyle w:val="ListParagraph"/>
        <w:numPr>
          <w:ilvl w:val="0"/>
          <w:numId w:val="2"/>
        </w:numPr>
        <w:spacing w:after="40" w:before="40"/>
      </w:pPr>
      <w:r>
        <w:rPr>
          <w:rFonts w:ascii="Arial" w:cs="Arial" w:eastAsia="Arial" w:hAnsi="Arial"/>
          <w:color w:val="374151"/>
          <w:sz w:val="22"/>
          <w:szCs w:val="22"/>
        </w:rPr>
        <w:t xml:space="preserve">Risk of data breach: LOW — mitigated by EU-based infrastructure and encryption</w:t>
      </w:r>
    </w:p>
    <w:p>
      <w:pPr>
        <w:spacing w:after="80" w:before="80"/>
      </w:pPr>
    </w:p>
    <w:p>
      <w:pPr>
        <w:pStyle w:val="Heading2"/>
        <w:spacing w:after="80" w:before="280"/>
      </w:pPr>
      <w:r>
        <w:rPr>
          <w:rFonts w:ascii="Arial" w:cs="Arial" w:eastAsia="Arial" w:hAnsi="Arial"/>
          <w:b/>
          <w:bCs/>
          <w:color w:val="0D2B5E"/>
          <w:sz w:val="24"/>
          <w:szCs w:val="24"/>
        </w:rPr>
        <w:t xml:space="preserve">4.2 Assessment of likelihood of high risk</w:t>
      </w:r>
    </w:p>
    <w:p>
      <w:pPr>
        <w:spacing w:after="80" w:before="80"/>
      </w:pPr>
      <w:r>
        <w:rPr>
          <w:rFonts w:ascii="Arial" w:cs="Arial" w:eastAsia="Arial" w:hAnsi="Arial"/>
          <w:color w:val="374151"/>
          <w:sz w:val="22"/>
          <w:szCs w:val="22"/>
        </w:rPr>
        <w:t xml:space="preserve">Based on the assessment above, DPO Agent does not present a high risk to the rights and freedoms of data subjects. The service:</w:t>
      </w:r>
    </w:p>
    <w:p>
      <w:pPr>
        <w:pStyle w:val="ListParagraph"/>
        <w:numPr>
          <w:ilvl w:val="0"/>
          <w:numId w:val="2"/>
        </w:numPr>
        <w:spacing w:after="40" w:before="40"/>
      </w:pPr>
      <w:r>
        <w:rPr>
          <w:rFonts w:ascii="Arial" w:cs="Arial" w:eastAsia="Arial" w:hAnsi="Arial"/>
          <w:color w:val="374151"/>
          <w:sz w:val="22"/>
          <w:szCs w:val="22"/>
        </w:rPr>
        <w:t xml:space="preserve">Does not process special categories of personal data</w:t>
      </w:r>
    </w:p>
    <w:p>
      <w:pPr>
        <w:pStyle w:val="ListParagraph"/>
        <w:numPr>
          <w:ilvl w:val="0"/>
          <w:numId w:val="2"/>
        </w:numPr>
        <w:spacing w:after="40" w:before="40"/>
      </w:pPr>
      <w:r>
        <w:rPr>
          <w:rFonts w:ascii="Arial" w:cs="Arial" w:eastAsia="Arial" w:hAnsi="Arial"/>
          <w:color w:val="374151"/>
          <w:sz w:val="22"/>
          <w:szCs w:val="22"/>
        </w:rPr>
        <w:t xml:space="preserve">Does not make automated decisions with legal or similarly significant effects</w:t>
      </w:r>
    </w:p>
    <w:p>
      <w:pPr>
        <w:pStyle w:val="ListParagraph"/>
        <w:numPr>
          <w:ilvl w:val="0"/>
          <w:numId w:val="2"/>
        </w:numPr>
        <w:spacing w:after="40" w:before="40"/>
      </w:pPr>
      <w:r>
        <w:rPr>
          <w:rFonts w:ascii="Arial" w:cs="Arial" w:eastAsia="Arial" w:hAnsi="Arial"/>
          <w:color w:val="374151"/>
          <w:sz w:val="22"/>
          <w:szCs w:val="22"/>
        </w:rPr>
        <w:t xml:space="preserve">Does not involve systematic monitoring of individuals</w:t>
      </w:r>
    </w:p>
    <w:p>
      <w:pPr>
        <w:pStyle w:val="ListParagraph"/>
        <w:numPr>
          <w:ilvl w:val="0"/>
          <w:numId w:val="2"/>
        </w:numPr>
        <w:spacing w:after="40" w:before="40"/>
      </w:pPr>
      <w:r>
        <w:rPr>
          <w:rFonts w:ascii="Arial" w:cs="Arial" w:eastAsia="Arial" w:hAnsi="Arial"/>
          <w:color w:val="374151"/>
          <w:sz w:val="22"/>
          <w:szCs w:val="22"/>
        </w:rPr>
        <w:t xml:space="preserve">Does not process data of vulnerable individuals</w:t>
      </w:r>
    </w:p>
    <w:p>
      <w:pPr>
        <w:pStyle w:val="ListParagraph"/>
        <w:numPr>
          <w:ilvl w:val="0"/>
          <w:numId w:val="2"/>
        </w:numPr>
        <w:spacing w:after="40" w:before="40"/>
      </w:pPr>
      <w:r>
        <w:rPr>
          <w:rFonts w:ascii="Arial" w:cs="Arial" w:eastAsia="Arial" w:hAnsi="Arial"/>
          <w:color w:val="374151"/>
          <w:sz w:val="22"/>
          <w:szCs w:val="22"/>
        </w:rPr>
        <w:t xml:space="preserve">Does not involve large-scale processing of sensitive data</w:t>
      </w:r>
    </w:p>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5. Measures to Address Risks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Zero data retention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Azure OpenAI configured with zero retention. Queries not stored after processing.</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Privacy by design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No user profiles, no analytics, no advertising. Minimum data collection.</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EU infrastructure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All processing in Azure Sweden Central. No transfers outside EU/EEA.</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Encryption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Data encrypted at rest and in transit (TLS 1.2+).</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Access control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Entra ID authentication. Only explicitly invited users can access.</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Source-grounded AI</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System prompt forbids training data use. All responses cite verified sources.</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Mandatory disclaimer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Every response includes a disclaimer that guidance is not legal advice.</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DPA available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Full Data Processing Agreement published at dpoagent.dk/dpa/</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Transparency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Trust Center with DPIA, risk analysis, and AI classification publicly available.</w:t>
            </w:r>
          </w:p>
        </w:tc>
      </w:tr>
    </w:tbl>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6. Consultation</w:t>
      </w:r>
    </w:p>
    <w:p>
      <w:pPr>
        <w:spacing w:after="80" w:before="80"/>
      </w:pPr>
      <w:r>
        <w:rPr>
          <w:rFonts w:ascii="Arial" w:cs="Arial" w:eastAsia="Arial" w:hAnsi="Arial"/>
          <w:color w:val="374151"/>
          <w:sz w:val="22"/>
          <w:szCs w:val="22"/>
        </w:rPr>
        <w:t xml:space="preserve">Given the low residual risk identified in this DPIA, consultation with Datatilsynet (the Danish Data Protection Authority) is not required under GDPR Article 36. DPO Agent voluntarily publishes this DPIA as part of its commitment to transparency.</w:t>
      </w:r>
    </w:p>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7. Conclusion</w:t>
      </w:r>
    </w:p>
    <w:p>
      <w:pPr>
        <w:spacing w:after="80" w:before="80"/>
      </w:pPr>
      <w:r>
        <w:rPr>
          <w:rFonts w:ascii="Arial" w:cs="Arial" w:eastAsia="Arial" w:hAnsi="Arial"/>
          <w:color w:val="374151"/>
          <w:sz w:val="22"/>
          <w:szCs w:val="22"/>
        </w:rPr>
        <w:t xml:space="preserve">This DPIA concludes that DPO Agent does not present a high risk to the rights and freedoms of data subjects. The service is designed with privacy by design principles, processes minimal personal data, retains no conversation data, and operates on EU-based infrastructure with robust security controls.</w:t>
      </w:r>
    </w:p>
    <w:p>
      <w:pPr>
        <w:spacing w:after="80" w:before="80"/>
      </w:pPr>
      <w:r>
        <w:rPr>
          <w:rFonts w:ascii="Arial" w:cs="Arial" w:eastAsia="Arial" w:hAnsi="Arial"/>
          <w:color w:val="374151"/>
          <w:sz w:val="22"/>
          <w:szCs w:val="22"/>
        </w:rPr>
        <w:t xml:space="preserve">This DPIA will be reviewed annually or upon any significant change to the service or its processing activities.</w:t>
      </w:r>
    </w:p>
    <w:p>
      <w:pPr>
        <w:spacing w:after="80" w:before="80"/>
      </w:pPr>
    </w:p>
    <w:p>
      <w:pPr>
        <w:pBdr>
          <w:top w:val="single" w:color="CCCCCC" w:sz="1" w:space="1"/>
        </w:pBdr>
        <w:spacing w:after="0" w:before="240"/>
      </w:pPr>
      <w:r>
        <w:rPr>
          <w:rFonts w:ascii="Arial" w:cs="Arial" w:eastAsia="Arial" w:hAnsi="Arial"/>
          <w:i/>
          <w:iCs/>
          <w:color w:val="6b7280"/>
          <w:sz w:val="18"/>
          <w:szCs w:val="18"/>
        </w:rPr>
        <w:t xml:space="preserve">DPO Agent ApS · dpoagent.dk · June 2026 · Confidential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0D2B5E"/>
      <w:sz w:val="28"/>
      <w:szCs w:val="28"/>
    </w:rPr>
  </w:style>
  <w:style w:type="paragraph" w:styleId="Heading2">
    <w:name w:val="Heading 2"/>
    <w:basedOn w:val="Normal"/>
    <w:next w:val="Normal"/>
    <w:qFormat/>
    <w:pPr>
      <w:spacing w:after="80" w:before="280"/>
      <w:outlineLvl w:val="1"/>
    </w:pPr>
    <w:rPr>
      <w:rFonts w:ascii="Arial" w:cs="Arial" w:eastAsia="Arial" w:hAnsi="Arial"/>
      <w:b/>
      <w:bCs/>
      <w:color w:val="0D2B5E"/>
      <w:sz w:val="24"/>
      <w:szCs w:val="24"/>
    </w:rPr>
  </w:style>
  <w:style w:type="paragraph" w:styleId="Heading3">
    <w:name w:val="Heading 3"/>
    <w:basedOn w:val="Normal"/>
    <w:next w:val="Normal"/>
    <w:qFormat/>
    <w:pPr>
      <w:spacing w:after="60" w:before="200"/>
      <w:outlineLvl w:val="2"/>
    </w:pPr>
    <w:rPr>
      <w:rFonts w:ascii="Arial" w:cs="Arial" w:eastAsia="Arial" w:hAnsi="Arial"/>
      <w:b/>
      <w:bCs/>
      <w:color w:val="0D2B5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2026-06-08T04:57:47.113Z</dcterms:created>
  <dcterms:modified xsi:type="dcterms:W3CDTF">2026-06-08T04:57:47.113Z</dcterms:modified>
</cp:coreProperties>
</file>

<file path=docProps/custom.xml><?xml version="1.0" encoding="utf-8"?>
<Properties xmlns="http://schemas.openxmlformats.org/officeDocument/2006/custom-properties" xmlns:vt="http://schemas.openxmlformats.org/officeDocument/2006/docPropsVTypes"/>
</file>