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0D2B5E" w:sz="6" w:space="1"/>
        </w:pBdr>
        <w:spacing w:after="120" w:before="0"/>
        <w:jc w:val="center"/>
      </w:pPr>
      <w:r>
        <w:rPr>
          <w:rFonts w:ascii="Arial" w:cs="Arial" w:eastAsia="Arial" w:hAnsi="Arial"/>
          <w:b/>
          <w:bCs/>
          <w:color w:val="0D2B5E"/>
          <w:sz w:val="36"/>
          <w:szCs w:val="36"/>
        </w:rPr>
        <w:t xml:space="preserve">DPO Agent</w:t>
      </w:r>
    </w:p>
    <w:p>
      <w:pPr>
        <w:spacing w:after="60" w:before="80"/>
        <w:jc w:val="center"/>
      </w:pPr>
      <w:r>
        <w:rPr>
          <w:rFonts w:ascii="Arial" w:cs="Arial" w:eastAsia="Arial" w:hAnsi="Arial"/>
          <w:b/>
          <w:bCs/>
          <w:color w:val="0D2B5E"/>
          <w:sz w:val="28"/>
          <w:szCs w:val="28"/>
        </w:rPr>
        <w:t xml:space="preserve">AI Classification under the EU AI Act</w:t>
      </w:r>
    </w:p>
    <w:p>
      <w:pPr>
        <w:spacing w:after="480" w:before="0"/>
        <w:jc w:val="center"/>
      </w:pPr>
      <w:r>
        <w:rPr>
          <w:rFonts w:ascii="Arial" w:cs="Arial" w:eastAsia="Arial" w:hAnsi="Arial"/>
          <w:i/>
          <w:iCs/>
          <w:color w:val="6b7280"/>
          <w:sz w:val="18"/>
          <w:szCs w:val="18"/>
        </w:rPr>
        <w:t xml:space="preserve">DPO Agent — Version 1.0 · June 2026</w:t>
      </w:r>
    </w:p>
    <w:p>
      <w:pPr>
        <w:pBdr>
          <w:bottom w:val="single" w:color="e5e7eb" w:sz="2" w:space="1"/>
        </w:pBdr>
        <w:spacing w:after="200" w:before="200"/>
      </w:pPr>
    </w:p>
    <w:p>
      <w:pPr>
        <w:pStyle w:val="Heading1"/>
        <w:spacing w:after="120" w:before="400"/>
      </w:pPr>
      <w:r>
        <w:rPr>
          <w:rFonts w:ascii="Arial" w:cs="Arial" w:eastAsia="Arial" w:hAnsi="Arial"/>
          <w:b/>
          <w:bCs/>
          <w:color w:val="0D2B5E"/>
          <w:sz w:val="28"/>
          <w:szCs w:val="28"/>
        </w:rPr>
        <w:t xml:space="preserve">1. Purpose</w:t>
      </w:r>
    </w:p>
    <w:p>
      <w:pPr>
        <w:spacing w:after="80" w:before="80"/>
      </w:pPr>
      <w:r>
        <w:rPr>
          <w:rFonts w:ascii="Arial" w:cs="Arial" w:eastAsia="Arial" w:hAnsi="Arial"/>
          <w:color w:val="374151"/>
          <w:sz w:val="22"/>
          <w:szCs w:val="22"/>
        </w:rPr>
        <w:t xml:space="preserve">This document assesses the classification of DPO Agent under the EU AI Act (Regulation 2024/1689), which entered into force on 1 August 2024 and applies progressively from 2025 onwards. The classification determines the obligations that apply to DPO Agent as an AI system.</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Document type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AI Classification — EU AI Act</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Legal basis</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Regulation (EU) 2024/1689 on Artificial Intelligence</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Service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DPO Agent — AI-powered DPO guidance</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Provider</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DPO Agent ApS, Damgårdsvej 39, 3460 Birkerød, Denmark</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Date</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June 2026</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Version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1.0</w:t>
            </w:r>
          </w:p>
        </w:tc>
      </w:tr>
    </w:tbl>
    <w:p>
      <w:pPr>
        <w:spacing w:after="80" w:before="80"/>
      </w:pPr>
    </w:p>
    <w:p>
      <w:pPr>
        <w:pBdr>
          <w:bottom w:val="single" w:color="e5e7eb" w:sz="2" w:space="1"/>
        </w:pBdr>
        <w:spacing w:after="200" w:before="200"/>
      </w:pPr>
    </w:p>
    <w:p>
      <w:pPr>
        <w:pStyle w:val="Heading1"/>
        <w:spacing w:after="120" w:before="400"/>
      </w:pPr>
      <w:r>
        <w:rPr>
          <w:rFonts w:ascii="Arial" w:cs="Arial" w:eastAsia="Arial" w:hAnsi="Arial"/>
          <w:b/>
          <w:bCs/>
          <w:color w:val="0D2B5E"/>
          <w:sz w:val="28"/>
          <w:szCs w:val="28"/>
        </w:rPr>
        <w:t xml:space="preserve">2. Description of the AI System</w:t>
      </w:r>
    </w:p>
    <w:p>
      <w:pPr>
        <w:spacing w:after="80" w:before="80"/>
      </w:pPr>
      <w:r>
        <w:rPr>
          <w:rFonts w:ascii="Arial" w:cs="Arial" w:eastAsia="Arial" w:hAnsi="Arial"/>
          <w:color w:val="374151"/>
          <w:sz w:val="22"/>
          <w:szCs w:val="22"/>
        </w:rPr>
        <w:t xml:space="preserve">DPO Agent is a web-based AI system that provides legal guidance to data protection professionals. It uses GPT-4o (a general-purpose AI model provided by Microsoft Azure OpenAI) in combination with Retrieval-Augmented Generation (RAG) to generate responses grounded exclusively in a curated knowledge base of validated legal sources.</w:t>
      </w:r>
    </w:p>
    <w:p>
      <w:pPr>
        <w:spacing w:after="80" w:before="80"/>
      </w:pPr>
    </w:p>
    <w:p>
      <w:pPr>
        <w:pStyle w:val="Heading2"/>
        <w:spacing w:after="80" w:before="280"/>
      </w:pPr>
      <w:r>
        <w:rPr>
          <w:rFonts w:ascii="Arial" w:cs="Arial" w:eastAsia="Arial" w:hAnsi="Arial"/>
          <w:b/>
          <w:bCs/>
          <w:color w:val="0D2B5E"/>
          <w:sz w:val="24"/>
          <w:szCs w:val="24"/>
        </w:rPr>
        <w:t xml:space="preserve">2.1 Technical components</w:t>
      </w:r>
    </w:p>
    <w:p>
      <w:pPr>
        <w:pStyle w:val="ListParagraph"/>
        <w:numPr>
          <w:ilvl w:val="0"/>
          <w:numId w:val="2"/>
        </w:numPr>
        <w:spacing w:after="40" w:before="40"/>
      </w:pPr>
      <w:r>
        <w:rPr>
          <w:rFonts w:ascii="Arial" w:cs="Arial" w:eastAsia="Arial" w:hAnsi="Arial"/>
          <w:color w:val="374151"/>
          <w:sz w:val="22"/>
          <w:szCs w:val="22"/>
        </w:rPr>
        <w:t xml:space="preserve">AI model: GPT-4o via Azure AI Foundry (Microsoft)</w:t>
      </w:r>
    </w:p>
    <w:p>
      <w:pPr>
        <w:pStyle w:val="ListParagraph"/>
        <w:numPr>
          <w:ilvl w:val="0"/>
          <w:numId w:val="2"/>
        </w:numPr>
        <w:spacing w:after="40" w:before="40"/>
      </w:pPr>
      <w:r>
        <w:rPr>
          <w:rFonts w:ascii="Arial" w:cs="Arial" w:eastAsia="Arial" w:hAnsi="Arial"/>
          <w:color w:val="374151"/>
          <w:sz w:val="22"/>
          <w:szCs w:val="22"/>
        </w:rPr>
        <w:t xml:space="preserve">Retrieval: Azure AI Search — semantic search against a knowledge base of legal documents</w:t>
      </w:r>
    </w:p>
    <w:p>
      <w:pPr>
        <w:pStyle w:val="ListParagraph"/>
        <w:numPr>
          <w:ilvl w:val="0"/>
          <w:numId w:val="2"/>
        </w:numPr>
        <w:spacing w:after="40" w:before="40"/>
      </w:pPr>
      <w:r>
        <w:rPr>
          <w:rFonts w:ascii="Arial" w:cs="Arial" w:eastAsia="Arial" w:hAnsi="Arial"/>
          <w:color w:val="374151"/>
          <w:sz w:val="22"/>
          <w:szCs w:val="22"/>
        </w:rPr>
        <w:t xml:space="preserve">Knowledge base: 23,500+ indexed sections from GDPR, AI Act, NIS2, EDPB guidelines, Datatilsynet vejledninger, CJEU judgments, and EU enforcement decisions</w:t>
      </w:r>
    </w:p>
    <w:p>
      <w:pPr>
        <w:pStyle w:val="ListParagraph"/>
        <w:numPr>
          <w:ilvl w:val="0"/>
          <w:numId w:val="2"/>
        </w:numPr>
        <w:spacing w:after="40" w:before="40"/>
      </w:pPr>
      <w:r>
        <w:rPr>
          <w:rFonts w:ascii="Arial" w:cs="Arial" w:eastAsia="Arial" w:hAnsi="Arial"/>
          <w:color w:val="374151"/>
          <w:sz w:val="22"/>
          <w:szCs w:val="22"/>
        </w:rPr>
        <w:t xml:space="preserve">Interface: Web-based chat interface</w:t>
      </w:r>
    </w:p>
    <w:p>
      <w:pPr>
        <w:spacing w:after="80" w:before="80"/>
      </w:pPr>
    </w:p>
    <w:p>
      <w:pPr>
        <w:pStyle w:val="Heading2"/>
        <w:spacing w:after="80" w:before="280"/>
      </w:pPr>
      <w:r>
        <w:rPr>
          <w:rFonts w:ascii="Arial" w:cs="Arial" w:eastAsia="Arial" w:hAnsi="Arial"/>
          <w:b/>
          <w:bCs/>
          <w:color w:val="0D2B5E"/>
          <w:sz w:val="24"/>
          <w:szCs w:val="24"/>
        </w:rPr>
        <w:t xml:space="preserve">2.2 Intended purpose</w:t>
      </w:r>
    </w:p>
    <w:p>
      <w:pPr>
        <w:spacing w:after="80" w:before="80"/>
      </w:pPr>
      <w:r>
        <w:rPr>
          <w:rFonts w:ascii="Arial" w:cs="Arial" w:eastAsia="Arial" w:hAnsi="Arial"/>
          <w:color w:val="374151"/>
          <w:sz w:val="22"/>
          <w:szCs w:val="22"/>
        </w:rPr>
        <w:t xml:space="preserve">DPO Agent is intended exclusively for use by data protection professionals (DPOs, compliance officers, legal staff) as a tool to support their professional work. It provides guidance — not decisions. All responses include a mandatory disclaimer that guidance is not legal advice.</w:t>
      </w:r>
    </w:p>
    <w:p>
      <w:pPr>
        <w:spacing w:after="80" w:before="80"/>
      </w:pPr>
    </w:p>
    <w:p>
      <w:pPr>
        <w:pBdr>
          <w:bottom w:val="single" w:color="e5e7eb" w:sz="2" w:space="1"/>
        </w:pBdr>
        <w:spacing w:after="200" w:before="200"/>
      </w:pPr>
    </w:p>
    <w:p>
      <w:pPr>
        <w:pStyle w:val="Heading1"/>
        <w:spacing w:after="120" w:before="400"/>
      </w:pPr>
      <w:r>
        <w:rPr>
          <w:rFonts w:ascii="Arial" w:cs="Arial" w:eastAsia="Arial" w:hAnsi="Arial"/>
          <w:b/>
          <w:bCs/>
          <w:color w:val="0D2B5E"/>
          <w:sz w:val="28"/>
          <w:szCs w:val="28"/>
        </w:rPr>
        <w:t xml:space="preserve">3. Classification Assessment</w:t>
      </w:r>
    </w:p>
    <w:p>
      <w:pPr>
        <w:pStyle w:val="Heading2"/>
        <w:spacing w:after="80" w:before="280"/>
      </w:pPr>
      <w:r>
        <w:rPr>
          <w:rFonts w:ascii="Arial" w:cs="Arial" w:eastAsia="Arial" w:hAnsi="Arial"/>
          <w:b/>
          <w:bCs/>
          <w:color w:val="0D2B5E"/>
          <w:sz w:val="24"/>
          <w:szCs w:val="24"/>
        </w:rPr>
        <w:t xml:space="preserve">3.1 Prohibited AI practices (Article 5)</w:t>
      </w:r>
    </w:p>
    <w:p>
      <w:pPr>
        <w:spacing w:after="80" w:before="80"/>
      </w:pPr>
      <w:r>
        <w:rPr>
          <w:rFonts w:ascii="Arial" w:cs="Arial" w:eastAsia="Arial" w:hAnsi="Arial"/>
          <w:color w:val="374151"/>
          <w:sz w:val="22"/>
          <w:szCs w:val="22"/>
        </w:rPr>
        <w:t xml:space="preserve">DPO Agent does not fall within any of the prohibited AI practices under Article 5 of the AI Act. Specifically, DPO Agent:</w:t>
      </w:r>
    </w:p>
    <w:p>
      <w:pPr>
        <w:pStyle w:val="ListParagraph"/>
        <w:numPr>
          <w:ilvl w:val="0"/>
          <w:numId w:val="2"/>
        </w:numPr>
        <w:spacing w:after="40" w:before="40"/>
      </w:pPr>
      <w:r>
        <w:rPr>
          <w:rFonts w:ascii="Arial" w:cs="Arial" w:eastAsia="Arial" w:hAnsi="Arial"/>
          <w:color w:val="374151"/>
          <w:sz w:val="22"/>
          <w:szCs w:val="22"/>
        </w:rPr>
        <w:t xml:space="preserve">Does not use subliminal techniques to manipulate users</w:t>
      </w:r>
    </w:p>
    <w:p>
      <w:pPr>
        <w:pStyle w:val="ListParagraph"/>
        <w:numPr>
          <w:ilvl w:val="0"/>
          <w:numId w:val="2"/>
        </w:numPr>
        <w:spacing w:after="40" w:before="40"/>
      </w:pPr>
      <w:r>
        <w:rPr>
          <w:rFonts w:ascii="Arial" w:cs="Arial" w:eastAsia="Arial" w:hAnsi="Arial"/>
          <w:color w:val="374151"/>
          <w:sz w:val="22"/>
          <w:szCs w:val="22"/>
        </w:rPr>
        <w:t xml:space="preserve">Does not exploit vulnerabilities of specific groups</w:t>
      </w:r>
    </w:p>
    <w:p>
      <w:pPr>
        <w:pStyle w:val="ListParagraph"/>
        <w:numPr>
          <w:ilvl w:val="0"/>
          <w:numId w:val="2"/>
        </w:numPr>
        <w:spacing w:after="40" w:before="40"/>
      </w:pPr>
      <w:r>
        <w:rPr>
          <w:rFonts w:ascii="Arial" w:cs="Arial" w:eastAsia="Arial" w:hAnsi="Arial"/>
          <w:color w:val="374151"/>
          <w:sz w:val="22"/>
          <w:szCs w:val="22"/>
        </w:rPr>
        <w:t xml:space="preserve">Does not involve social scoring by public authorities</w:t>
      </w:r>
    </w:p>
    <w:p>
      <w:pPr>
        <w:pStyle w:val="ListParagraph"/>
        <w:numPr>
          <w:ilvl w:val="0"/>
          <w:numId w:val="2"/>
        </w:numPr>
        <w:spacing w:after="40" w:before="40"/>
      </w:pPr>
      <w:r>
        <w:rPr>
          <w:rFonts w:ascii="Arial" w:cs="Arial" w:eastAsia="Arial" w:hAnsi="Arial"/>
          <w:color w:val="374151"/>
          <w:sz w:val="22"/>
          <w:szCs w:val="22"/>
        </w:rPr>
        <w:t xml:space="preserve">Does not involve real-time remote biometric identification</w:t>
      </w:r>
    </w:p>
    <w:p>
      <w:pPr>
        <w:pStyle w:val="ListParagraph"/>
        <w:numPr>
          <w:ilvl w:val="0"/>
          <w:numId w:val="2"/>
        </w:numPr>
        <w:spacing w:after="40" w:before="40"/>
      </w:pPr>
      <w:r>
        <w:rPr>
          <w:rFonts w:ascii="Arial" w:cs="Arial" w:eastAsia="Arial" w:hAnsi="Arial"/>
          <w:color w:val="374151"/>
          <w:sz w:val="22"/>
          <w:szCs w:val="22"/>
        </w:rPr>
        <w:t xml:space="preserve">Does not make individual profiling or predictions about criminal behaviour</w:t>
      </w:r>
    </w:p>
    <w:p>
      <w:pPr>
        <w:spacing w:after="80" w:before="80"/>
      </w:pPr>
      <w:r>
        <w:rPr>
          <w:rFonts w:ascii="Arial" w:cs="Arial" w:eastAsia="Arial" w:hAnsi="Arial"/>
          <w:b/>
          <w:bCs/>
          <w:color w:val="374151"/>
          <w:sz w:val="22"/>
          <w:szCs w:val="22"/>
        </w:rPr>
        <w:t xml:space="preserve">Classification: NOT PROHIBITED ✅</w:t>
      </w:r>
    </w:p>
    <w:p>
      <w:pPr>
        <w:spacing w:after="80" w:before="80"/>
      </w:pPr>
    </w:p>
    <w:p>
      <w:pPr>
        <w:pStyle w:val="Heading2"/>
        <w:spacing w:after="80" w:before="280"/>
      </w:pPr>
      <w:r>
        <w:rPr>
          <w:rFonts w:ascii="Arial" w:cs="Arial" w:eastAsia="Arial" w:hAnsi="Arial"/>
          <w:b/>
          <w:bCs/>
          <w:color w:val="0D2B5E"/>
          <w:sz w:val="24"/>
          <w:szCs w:val="24"/>
        </w:rPr>
        <w:t xml:space="preserve">3.2 High-risk AI systems (Article 6 + Annex III)</w:t>
      </w:r>
    </w:p>
    <w:p>
      <w:pPr>
        <w:spacing w:after="80" w:before="80"/>
      </w:pPr>
      <w:r>
        <w:rPr>
          <w:rFonts w:ascii="Arial" w:cs="Arial" w:eastAsia="Arial" w:hAnsi="Arial"/>
          <w:color w:val="374151"/>
          <w:sz w:val="22"/>
          <w:szCs w:val="22"/>
        </w:rPr>
        <w:t xml:space="preserve">Annex III lists the categories of high-risk AI systems. DPO Agent is assessed against each relevant category:</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4526"/>
        <w:gridCol w:w="1000"/>
      </w:tblGrid>
      <w:tr>
        <w:tc>
          <w:tcPr>
            <w:tcW w:type="dxa" w:w="3500"/>
            <w:tcBorders>
              <w:top w:val="single" w:color="CCCCCC" w:sz="1"/>
              <w:left w:val="single" w:color="CCCCCC" w:sz="1"/>
              <w:bottom w:val="single" w:color="CCCCCC" w:sz="1"/>
              <w:right w:val="single" w:color="CCCCCC" w:sz="1"/>
            </w:tcBorders>
            <w:shd w:fill="0D2B5E" w:val="clear"/>
            <w:tcMar>
              <w:top w:type="dxa" w:w="80"/>
              <w:left w:type="dxa" w:w="120"/>
              <w:bottom w:type="dxa" w:w="80"/>
              <w:right w:type="dxa" w:w="120"/>
            </w:tcMar>
          </w:tcPr>
          <w:p>
            <w:r>
              <w:rPr>
                <w:rFonts w:ascii="Arial" w:cs="Arial" w:eastAsia="Arial" w:hAnsi="Arial"/>
                <w:b/>
                <w:bCs/>
                <w:color w:val="FFFFFF"/>
                <w:sz w:val="20"/>
                <w:szCs w:val="20"/>
              </w:rPr>
              <w:t xml:space="preserve">Annex III Category</w:t>
            </w:r>
          </w:p>
        </w:tc>
        <w:tc>
          <w:tcPr>
            <w:tcW w:type="dxa" w:w="4526"/>
            <w:tcBorders>
              <w:top w:val="single" w:color="CCCCCC" w:sz="1"/>
              <w:left w:val="single" w:color="CCCCCC" w:sz="1"/>
              <w:bottom w:val="single" w:color="CCCCCC" w:sz="1"/>
              <w:right w:val="single" w:color="CCCCCC" w:sz="1"/>
            </w:tcBorders>
            <w:shd w:fill="0D2B5E" w:val="clear"/>
            <w:tcMar>
              <w:top w:type="dxa" w:w="80"/>
              <w:left w:type="dxa" w:w="120"/>
              <w:bottom w:type="dxa" w:w="80"/>
              <w:right w:type="dxa" w:w="120"/>
            </w:tcMar>
          </w:tcPr>
          <w:p>
            <w:r>
              <w:rPr>
                <w:rFonts w:ascii="Arial" w:cs="Arial" w:eastAsia="Arial" w:hAnsi="Arial"/>
                <w:b/>
                <w:bCs/>
                <w:color w:val="FFFFFF"/>
                <w:sz w:val="20"/>
                <w:szCs w:val="20"/>
              </w:rPr>
              <w:t xml:space="preserve">Assessment</w:t>
            </w:r>
          </w:p>
        </w:tc>
        <w:tc>
          <w:tcPr>
            <w:tcW w:type="dxa" w:w="1000"/>
            <w:tcBorders>
              <w:top w:val="single" w:color="CCCCCC" w:sz="1"/>
              <w:left w:val="single" w:color="CCCCCC" w:sz="1"/>
              <w:bottom w:val="single" w:color="CCCCCC" w:sz="1"/>
              <w:right w:val="single" w:color="CCCCCC" w:sz="1"/>
            </w:tcBorders>
            <w:shd w:fill="0D2B5E" w:val="clear"/>
            <w:tcMar>
              <w:top w:type="dxa" w:w="80"/>
              <w:left w:type="dxa" w:w="80"/>
              <w:bottom w:type="dxa" w:w="80"/>
              <w:right w:type="dxa" w:w="80"/>
            </w:tcMar>
          </w:tcPr>
          <w:p>
            <w:pPr>
              <w:jc w:val="center"/>
            </w:pPr>
            <w:r>
              <w:rPr>
                <w:rFonts w:ascii="Arial" w:cs="Arial" w:eastAsia="Arial" w:hAnsi="Arial"/>
                <w:b/>
                <w:bCs/>
                <w:color w:val="FFFFFF"/>
                <w:sz w:val="20"/>
                <w:szCs w:val="20"/>
              </w:rPr>
              <w:t xml:space="preserve">Applies</w:t>
            </w:r>
          </w:p>
        </w:tc>
      </w:tr>
      <w:tr>
        <w:tc>
          <w:tcPr>
            <w:tcW w:type="dxa" w:w="35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color w:val="0D2B5E"/>
                <w:sz w:val="19"/>
                <w:szCs w:val="19"/>
              </w:rPr>
              <w:t xml:space="preserve">Biometric identification and categorisation</w:t>
            </w:r>
          </w:p>
        </w:tc>
        <w:tc>
          <w:tcPr>
            <w:tcW w:type="dxa" w:w="4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19"/>
                <w:szCs w:val="19"/>
              </w:rPr>
              <w:t xml:space="preserve">DPO Agent does not process biometric data</w:t>
            </w:r>
          </w:p>
        </w:tc>
        <w:tc>
          <w:tcPr>
            <w:tcW w:type="dxa" w:w="1000"/>
            <w:tcBorders>
              <w:top w:val="single" w:color="CCCCCC" w:sz="1"/>
              <w:left w:val="single" w:color="CCCCCC" w:sz="1"/>
              <w:bottom w:val="single" w:color="CCCCCC" w:sz="1"/>
              <w:right w:val="single" w:color="CCCCCC" w:sz="1"/>
            </w:tcBorders>
            <w:shd w:fill="EAF3DE" w:val="clear"/>
            <w:tcMar>
              <w:top w:type="dxa" w:w="80"/>
              <w:left w:type="dxa" w:w="80"/>
              <w:bottom w:type="dxa" w:w="80"/>
              <w:right w:type="dxa" w:w="80"/>
            </w:tcMar>
          </w:tcPr>
          <w:p>
            <w:pPr>
              <w:jc w:val="center"/>
            </w:pPr>
            <w:r>
              <w:rPr>
                <w:rFonts w:ascii="Arial" w:cs="Arial" w:eastAsia="Arial" w:hAnsi="Arial"/>
                <w:color w:val="3B6D11"/>
                <w:sz w:val="18"/>
                <w:szCs w:val="18"/>
              </w:rPr>
              <w:t xml:space="preserve">No ✅</w:t>
            </w:r>
          </w:p>
        </w:tc>
      </w:tr>
      <w:tr>
        <w:tc>
          <w:tcPr>
            <w:tcW w:type="dxa" w:w="35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color w:val="0D2B5E"/>
                <w:sz w:val="19"/>
                <w:szCs w:val="19"/>
              </w:rPr>
              <w:t xml:space="preserve">Critical infrastructure management</w:t>
            </w:r>
          </w:p>
        </w:tc>
        <w:tc>
          <w:tcPr>
            <w:tcW w:type="dxa" w:w="4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19"/>
                <w:szCs w:val="19"/>
              </w:rPr>
              <w:t xml:space="preserve">DPO Agent is not used in critical infrastructure</w:t>
            </w:r>
          </w:p>
        </w:tc>
        <w:tc>
          <w:tcPr>
            <w:tcW w:type="dxa" w:w="1000"/>
            <w:tcBorders>
              <w:top w:val="single" w:color="CCCCCC" w:sz="1"/>
              <w:left w:val="single" w:color="CCCCCC" w:sz="1"/>
              <w:bottom w:val="single" w:color="CCCCCC" w:sz="1"/>
              <w:right w:val="single" w:color="CCCCCC" w:sz="1"/>
            </w:tcBorders>
            <w:shd w:fill="EAF3DE" w:val="clear"/>
            <w:tcMar>
              <w:top w:type="dxa" w:w="80"/>
              <w:left w:type="dxa" w:w="80"/>
              <w:bottom w:type="dxa" w:w="80"/>
              <w:right w:type="dxa" w:w="80"/>
            </w:tcMar>
          </w:tcPr>
          <w:p>
            <w:pPr>
              <w:jc w:val="center"/>
            </w:pPr>
            <w:r>
              <w:rPr>
                <w:rFonts w:ascii="Arial" w:cs="Arial" w:eastAsia="Arial" w:hAnsi="Arial"/>
                <w:color w:val="3B6D11"/>
                <w:sz w:val="18"/>
                <w:szCs w:val="18"/>
              </w:rPr>
              <w:t xml:space="preserve">No ✅</w:t>
            </w:r>
          </w:p>
        </w:tc>
      </w:tr>
      <w:tr>
        <w:tc>
          <w:tcPr>
            <w:tcW w:type="dxa" w:w="35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color w:val="0D2B5E"/>
                <w:sz w:val="19"/>
                <w:szCs w:val="19"/>
              </w:rPr>
              <w:t xml:space="preserve">Education and vocational training</w:t>
            </w:r>
          </w:p>
        </w:tc>
        <w:tc>
          <w:tcPr>
            <w:tcW w:type="dxa" w:w="4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19"/>
                <w:szCs w:val="19"/>
              </w:rPr>
              <w:t xml:space="preserve">DPO Agent provides professional guidance, not educational assessment determining access to education</w:t>
            </w:r>
          </w:p>
        </w:tc>
        <w:tc>
          <w:tcPr>
            <w:tcW w:type="dxa" w:w="1000"/>
            <w:tcBorders>
              <w:top w:val="single" w:color="CCCCCC" w:sz="1"/>
              <w:left w:val="single" w:color="CCCCCC" w:sz="1"/>
              <w:bottom w:val="single" w:color="CCCCCC" w:sz="1"/>
              <w:right w:val="single" w:color="CCCCCC" w:sz="1"/>
            </w:tcBorders>
            <w:shd w:fill="EAF3DE" w:val="clear"/>
            <w:tcMar>
              <w:top w:type="dxa" w:w="80"/>
              <w:left w:type="dxa" w:w="80"/>
              <w:bottom w:type="dxa" w:w="80"/>
              <w:right w:type="dxa" w:w="80"/>
            </w:tcMar>
          </w:tcPr>
          <w:p>
            <w:pPr>
              <w:jc w:val="center"/>
            </w:pPr>
            <w:r>
              <w:rPr>
                <w:rFonts w:ascii="Arial" w:cs="Arial" w:eastAsia="Arial" w:hAnsi="Arial"/>
                <w:color w:val="3B6D11"/>
                <w:sz w:val="18"/>
                <w:szCs w:val="18"/>
              </w:rPr>
              <w:t xml:space="preserve">No ✅</w:t>
            </w:r>
          </w:p>
        </w:tc>
      </w:tr>
      <w:tr>
        <w:tc>
          <w:tcPr>
            <w:tcW w:type="dxa" w:w="35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color w:val="0D2B5E"/>
                <w:sz w:val="19"/>
                <w:szCs w:val="19"/>
              </w:rPr>
              <w:t xml:space="preserve">Employment and workers management</w:t>
            </w:r>
          </w:p>
        </w:tc>
        <w:tc>
          <w:tcPr>
            <w:tcW w:type="dxa" w:w="4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19"/>
                <w:szCs w:val="19"/>
              </w:rPr>
              <w:t xml:space="preserve">DPO Agent is not used for recruitment or performance evaluation</w:t>
            </w:r>
          </w:p>
        </w:tc>
        <w:tc>
          <w:tcPr>
            <w:tcW w:type="dxa" w:w="1000"/>
            <w:tcBorders>
              <w:top w:val="single" w:color="CCCCCC" w:sz="1"/>
              <w:left w:val="single" w:color="CCCCCC" w:sz="1"/>
              <w:bottom w:val="single" w:color="CCCCCC" w:sz="1"/>
              <w:right w:val="single" w:color="CCCCCC" w:sz="1"/>
            </w:tcBorders>
            <w:shd w:fill="EAF3DE" w:val="clear"/>
            <w:tcMar>
              <w:top w:type="dxa" w:w="80"/>
              <w:left w:type="dxa" w:w="80"/>
              <w:bottom w:type="dxa" w:w="80"/>
              <w:right w:type="dxa" w:w="80"/>
            </w:tcMar>
          </w:tcPr>
          <w:p>
            <w:pPr>
              <w:jc w:val="center"/>
            </w:pPr>
            <w:r>
              <w:rPr>
                <w:rFonts w:ascii="Arial" w:cs="Arial" w:eastAsia="Arial" w:hAnsi="Arial"/>
                <w:color w:val="3B6D11"/>
                <w:sz w:val="18"/>
                <w:szCs w:val="18"/>
              </w:rPr>
              <w:t xml:space="preserve">No ✅</w:t>
            </w:r>
          </w:p>
        </w:tc>
      </w:tr>
      <w:tr>
        <w:tc>
          <w:tcPr>
            <w:tcW w:type="dxa" w:w="35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color w:val="0D2B5E"/>
                <w:sz w:val="19"/>
                <w:szCs w:val="19"/>
              </w:rPr>
              <w:t xml:space="preserve">Access to essential services</w:t>
            </w:r>
          </w:p>
        </w:tc>
        <w:tc>
          <w:tcPr>
            <w:tcW w:type="dxa" w:w="4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19"/>
                <w:szCs w:val="19"/>
              </w:rPr>
              <w:t xml:space="preserve">DPO Agent does not determine access to essential public or private services</w:t>
            </w:r>
          </w:p>
        </w:tc>
        <w:tc>
          <w:tcPr>
            <w:tcW w:type="dxa" w:w="1000"/>
            <w:tcBorders>
              <w:top w:val="single" w:color="CCCCCC" w:sz="1"/>
              <w:left w:val="single" w:color="CCCCCC" w:sz="1"/>
              <w:bottom w:val="single" w:color="CCCCCC" w:sz="1"/>
              <w:right w:val="single" w:color="CCCCCC" w:sz="1"/>
            </w:tcBorders>
            <w:shd w:fill="EAF3DE" w:val="clear"/>
            <w:tcMar>
              <w:top w:type="dxa" w:w="80"/>
              <w:left w:type="dxa" w:w="80"/>
              <w:bottom w:type="dxa" w:w="80"/>
              <w:right w:type="dxa" w:w="80"/>
            </w:tcMar>
          </w:tcPr>
          <w:p>
            <w:pPr>
              <w:jc w:val="center"/>
            </w:pPr>
            <w:r>
              <w:rPr>
                <w:rFonts w:ascii="Arial" w:cs="Arial" w:eastAsia="Arial" w:hAnsi="Arial"/>
                <w:color w:val="3B6D11"/>
                <w:sz w:val="18"/>
                <w:szCs w:val="18"/>
              </w:rPr>
              <w:t xml:space="preserve">No ✅</w:t>
            </w:r>
          </w:p>
        </w:tc>
      </w:tr>
      <w:tr>
        <w:tc>
          <w:tcPr>
            <w:tcW w:type="dxa" w:w="35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color w:val="0D2B5E"/>
                <w:sz w:val="19"/>
                <w:szCs w:val="19"/>
              </w:rPr>
              <w:t xml:space="preserve">Law enforcement</w:t>
            </w:r>
          </w:p>
        </w:tc>
        <w:tc>
          <w:tcPr>
            <w:tcW w:type="dxa" w:w="4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19"/>
                <w:szCs w:val="19"/>
              </w:rPr>
              <w:t xml:space="preserve">DPO Agent is not used by law enforcement authorities</w:t>
            </w:r>
          </w:p>
        </w:tc>
        <w:tc>
          <w:tcPr>
            <w:tcW w:type="dxa" w:w="1000"/>
            <w:tcBorders>
              <w:top w:val="single" w:color="CCCCCC" w:sz="1"/>
              <w:left w:val="single" w:color="CCCCCC" w:sz="1"/>
              <w:bottom w:val="single" w:color="CCCCCC" w:sz="1"/>
              <w:right w:val="single" w:color="CCCCCC" w:sz="1"/>
            </w:tcBorders>
            <w:shd w:fill="EAF3DE" w:val="clear"/>
            <w:tcMar>
              <w:top w:type="dxa" w:w="80"/>
              <w:left w:type="dxa" w:w="80"/>
              <w:bottom w:type="dxa" w:w="80"/>
              <w:right w:type="dxa" w:w="80"/>
            </w:tcMar>
          </w:tcPr>
          <w:p>
            <w:pPr>
              <w:jc w:val="center"/>
            </w:pPr>
            <w:r>
              <w:rPr>
                <w:rFonts w:ascii="Arial" w:cs="Arial" w:eastAsia="Arial" w:hAnsi="Arial"/>
                <w:color w:val="3B6D11"/>
                <w:sz w:val="18"/>
                <w:szCs w:val="18"/>
              </w:rPr>
              <w:t xml:space="preserve">No ✅</w:t>
            </w:r>
          </w:p>
        </w:tc>
      </w:tr>
      <w:tr>
        <w:tc>
          <w:tcPr>
            <w:tcW w:type="dxa" w:w="35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color w:val="0D2B5E"/>
                <w:sz w:val="19"/>
                <w:szCs w:val="19"/>
              </w:rPr>
              <w:t xml:space="preserve">Migration, asylum and border control</w:t>
            </w:r>
          </w:p>
        </w:tc>
        <w:tc>
          <w:tcPr>
            <w:tcW w:type="dxa" w:w="4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19"/>
                <w:szCs w:val="19"/>
              </w:rPr>
              <w:t xml:space="preserve">DPO Agent is not used in migration or border control</w:t>
            </w:r>
          </w:p>
        </w:tc>
        <w:tc>
          <w:tcPr>
            <w:tcW w:type="dxa" w:w="1000"/>
            <w:tcBorders>
              <w:top w:val="single" w:color="CCCCCC" w:sz="1"/>
              <w:left w:val="single" w:color="CCCCCC" w:sz="1"/>
              <w:bottom w:val="single" w:color="CCCCCC" w:sz="1"/>
              <w:right w:val="single" w:color="CCCCCC" w:sz="1"/>
            </w:tcBorders>
            <w:shd w:fill="EAF3DE" w:val="clear"/>
            <w:tcMar>
              <w:top w:type="dxa" w:w="80"/>
              <w:left w:type="dxa" w:w="80"/>
              <w:bottom w:type="dxa" w:w="80"/>
              <w:right w:type="dxa" w:w="80"/>
            </w:tcMar>
          </w:tcPr>
          <w:p>
            <w:pPr>
              <w:jc w:val="center"/>
            </w:pPr>
            <w:r>
              <w:rPr>
                <w:rFonts w:ascii="Arial" w:cs="Arial" w:eastAsia="Arial" w:hAnsi="Arial"/>
                <w:color w:val="3B6D11"/>
                <w:sz w:val="18"/>
                <w:szCs w:val="18"/>
              </w:rPr>
              <w:t xml:space="preserve">No ✅</w:t>
            </w:r>
          </w:p>
        </w:tc>
      </w:tr>
      <w:tr>
        <w:tc>
          <w:tcPr>
            <w:tcW w:type="dxa" w:w="35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color w:val="0D2B5E"/>
                <w:sz w:val="19"/>
                <w:szCs w:val="19"/>
              </w:rPr>
              <w:t xml:space="preserve">Administration of justice</w:t>
            </w:r>
          </w:p>
        </w:tc>
        <w:tc>
          <w:tcPr>
            <w:tcW w:type="dxa" w:w="4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19"/>
                <w:szCs w:val="19"/>
              </w:rPr>
              <w:t xml:space="preserve">DPO Agent provides general guidance, not binding legal decisions or judicial support</w:t>
            </w:r>
          </w:p>
        </w:tc>
        <w:tc>
          <w:tcPr>
            <w:tcW w:type="dxa" w:w="1000"/>
            <w:tcBorders>
              <w:top w:val="single" w:color="CCCCCC" w:sz="1"/>
              <w:left w:val="single" w:color="CCCCCC" w:sz="1"/>
              <w:bottom w:val="single" w:color="CCCCCC" w:sz="1"/>
              <w:right w:val="single" w:color="CCCCCC" w:sz="1"/>
            </w:tcBorders>
            <w:shd w:fill="EAF3DE" w:val="clear"/>
            <w:tcMar>
              <w:top w:type="dxa" w:w="80"/>
              <w:left w:type="dxa" w:w="80"/>
              <w:bottom w:type="dxa" w:w="80"/>
              <w:right w:type="dxa" w:w="80"/>
            </w:tcMar>
          </w:tcPr>
          <w:p>
            <w:pPr>
              <w:jc w:val="center"/>
            </w:pPr>
            <w:r>
              <w:rPr>
                <w:rFonts w:ascii="Arial" w:cs="Arial" w:eastAsia="Arial" w:hAnsi="Arial"/>
                <w:color w:val="3B6D11"/>
                <w:sz w:val="18"/>
                <w:szCs w:val="18"/>
              </w:rPr>
              <w:t xml:space="preserve">No ✅</w:t>
            </w:r>
          </w:p>
        </w:tc>
      </w:tr>
    </w:tbl>
    <w:p>
      <w:pPr>
        <w:spacing w:after="80" w:before="80"/>
      </w:pPr>
    </w:p>
    <w:p>
      <w:pPr>
        <w:spacing w:after="80" w:before="80"/>
      </w:pPr>
      <w:r>
        <w:rPr>
          <w:rFonts w:ascii="Arial" w:cs="Arial" w:eastAsia="Arial" w:hAnsi="Arial"/>
          <w:b/>
          <w:bCs/>
          <w:color w:val="374151"/>
          <w:sz w:val="22"/>
          <w:szCs w:val="22"/>
        </w:rPr>
        <w:t xml:space="preserve">Classification: NOT HIGH-RISK ✅</w:t>
      </w:r>
    </w:p>
    <w:p>
      <w:pPr>
        <w:spacing w:after="80" w:before="80"/>
      </w:pPr>
    </w:p>
    <w:p>
      <w:pPr>
        <w:pStyle w:val="Heading2"/>
        <w:spacing w:after="80" w:before="280"/>
      </w:pPr>
      <w:r>
        <w:rPr>
          <w:rFonts w:ascii="Arial" w:cs="Arial" w:eastAsia="Arial" w:hAnsi="Arial"/>
          <w:b/>
          <w:bCs/>
          <w:color w:val="0D2B5E"/>
          <w:sz w:val="24"/>
          <w:szCs w:val="24"/>
        </w:rPr>
        <w:t xml:space="preserve">3.3 Limited risk AI systems (Article 50)</w:t>
      </w:r>
    </w:p>
    <w:p>
      <w:pPr>
        <w:spacing w:after="80" w:before="80"/>
      </w:pPr>
      <w:r>
        <w:rPr>
          <w:rFonts w:ascii="Arial" w:cs="Arial" w:eastAsia="Arial" w:hAnsi="Arial"/>
          <w:color w:val="374151"/>
          <w:sz w:val="22"/>
          <w:szCs w:val="22"/>
        </w:rPr>
        <w:t xml:space="preserve">Article 50 imposes transparency obligations on certain AI systems, including chatbots that interact with humans. DPO Agent:</w:t>
      </w:r>
    </w:p>
    <w:p>
      <w:pPr>
        <w:pStyle w:val="ListParagraph"/>
        <w:numPr>
          <w:ilvl w:val="0"/>
          <w:numId w:val="2"/>
        </w:numPr>
        <w:spacing w:after="40" w:before="40"/>
      </w:pPr>
      <w:r>
        <w:rPr>
          <w:rFonts w:ascii="Arial" w:cs="Arial" w:eastAsia="Arial" w:hAnsi="Arial"/>
          <w:color w:val="374151"/>
          <w:sz w:val="22"/>
          <w:szCs w:val="22"/>
        </w:rPr>
        <w:t xml:space="preserve">Is clearly identified as an AI system on all pages</w:t>
      </w:r>
    </w:p>
    <w:p>
      <w:pPr>
        <w:pStyle w:val="ListParagraph"/>
        <w:numPr>
          <w:ilvl w:val="0"/>
          <w:numId w:val="2"/>
        </w:numPr>
        <w:spacing w:after="40" w:before="40"/>
      </w:pPr>
      <w:r>
        <w:rPr>
          <w:rFonts w:ascii="Arial" w:cs="Arial" w:eastAsia="Arial" w:hAnsi="Arial"/>
          <w:color w:val="374151"/>
          <w:sz w:val="22"/>
          <w:szCs w:val="22"/>
        </w:rPr>
        <w:t xml:space="preserve">Provides mandatory disclaimers with every response</w:t>
      </w:r>
    </w:p>
    <w:p>
      <w:pPr>
        <w:pStyle w:val="ListParagraph"/>
        <w:numPr>
          <w:ilvl w:val="0"/>
          <w:numId w:val="2"/>
        </w:numPr>
        <w:spacing w:after="40" w:before="40"/>
      </w:pPr>
      <w:r>
        <w:rPr>
          <w:rFonts w:ascii="Arial" w:cs="Arial" w:eastAsia="Arial" w:hAnsi="Arial"/>
          <w:color w:val="374151"/>
          <w:sz w:val="22"/>
          <w:szCs w:val="22"/>
        </w:rPr>
        <w:t xml:space="preserve">Does not generate synthetic content (images, audio, video, text used to deceive)</w:t>
      </w:r>
    </w:p>
    <w:p>
      <w:pPr>
        <w:pStyle w:val="ListParagraph"/>
        <w:numPr>
          <w:ilvl w:val="0"/>
          <w:numId w:val="2"/>
        </w:numPr>
        <w:spacing w:after="40" w:before="40"/>
      </w:pPr>
      <w:r>
        <w:rPr>
          <w:rFonts w:ascii="Arial" w:cs="Arial" w:eastAsia="Arial" w:hAnsi="Arial"/>
          <w:color w:val="374151"/>
          <w:sz w:val="22"/>
          <w:szCs w:val="22"/>
        </w:rPr>
        <w:t xml:space="preserve">The Trust Center (dpoagent.dk/trust/) provides full transparency about the AI system</w:t>
      </w:r>
    </w:p>
    <w:p>
      <w:pPr>
        <w:spacing w:after="80" w:before="80"/>
      </w:pPr>
      <w:r>
        <w:rPr>
          <w:rFonts w:ascii="Arial" w:cs="Arial" w:eastAsia="Arial" w:hAnsi="Arial"/>
          <w:b/>
          <w:bCs/>
          <w:color w:val="374151"/>
          <w:sz w:val="22"/>
          <w:szCs w:val="22"/>
        </w:rPr>
        <w:t xml:space="preserve">Classification: LIMITED RISK — transparency obligations apply and are fulfilled ✅</w:t>
      </w:r>
    </w:p>
    <w:p>
      <w:pPr>
        <w:spacing w:after="80" w:before="80"/>
      </w:pPr>
    </w:p>
    <w:p>
      <w:pPr>
        <w:pBdr>
          <w:bottom w:val="single" w:color="e5e7eb" w:sz="2" w:space="1"/>
        </w:pBdr>
        <w:spacing w:after="200" w:before="200"/>
      </w:pPr>
    </w:p>
    <w:p>
      <w:pPr>
        <w:pStyle w:val="Heading1"/>
        <w:spacing w:after="120" w:before="400"/>
      </w:pPr>
      <w:r>
        <w:rPr>
          <w:rFonts w:ascii="Arial" w:cs="Arial" w:eastAsia="Arial" w:hAnsi="Arial"/>
          <w:b/>
          <w:bCs/>
          <w:color w:val="0D2B5E"/>
          <w:sz w:val="28"/>
          <w:szCs w:val="28"/>
        </w:rPr>
        <w:t xml:space="preserve">4. Final Classification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0D2B5E" w:val="clear"/>
            <w:tcMar>
              <w:top w:type="dxa" w:w="80"/>
              <w:left w:type="dxa" w:w="120"/>
              <w:bottom w:type="dxa" w:w="80"/>
              <w:right w:type="dxa" w:w="120"/>
            </w:tcMar>
          </w:tcPr>
          <w:p>
            <w:r>
              <w:rPr>
                <w:rFonts w:ascii="Arial" w:cs="Arial" w:eastAsia="Arial" w:hAnsi="Arial"/>
                <w:b/>
                <w:bCs/>
                <w:color w:val="FFFFFF"/>
                <w:sz w:val="22"/>
                <w:szCs w:val="22"/>
              </w:rPr>
              <w:t xml:space="preserve">Classification</w:t>
            </w:r>
          </w:p>
        </w:tc>
        <w:tc>
          <w:tcPr>
            <w:tcW w:type="dxa" w:w="6026"/>
            <w:tcBorders>
              <w:top w:val="single" w:color="CCCCCC" w:sz="1"/>
              <w:left w:val="single" w:color="CCCCCC" w:sz="1"/>
              <w:bottom w:val="single" w:color="CCCCCC" w:sz="1"/>
              <w:right w:val="single" w:color="CCCCCC" w:sz="1"/>
            </w:tcBorders>
            <w:shd w:fill="EAF3DE" w:val="clear"/>
            <w:tcMar>
              <w:top w:type="dxa" w:w="80"/>
              <w:left w:type="dxa" w:w="120"/>
              <w:bottom w:type="dxa" w:w="80"/>
              <w:right w:type="dxa" w:w="120"/>
            </w:tcMar>
          </w:tcPr>
          <w:p>
            <w:r>
              <w:rPr>
                <w:rFonts w:ascii="Arial" w:cs="Arial" w:eastAsia="Arial" w:hAnsi="Arial"/>
                <w:b/>
                <w:bCs/>
                <w:color w:val="3B6D11"/>
                <w:sz w:val="22"/>
                <w:szCs w:val="22"/>
              </w:rPr>
              <w:t xml:space="preserve">LIMITED RISK (Minimal risk with transparency obligations)</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Prohibited practices</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None — DPO Agent does not fall within any prohibited practice</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High-risk classification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No — DPO Agent does not fall within any Annex III category</w:t>
            </w:r>
          </w:p>
        </w:tc>
      </w:tr>
      <w:tr>
        <w:tc>
          <w:tcPr>
            <w:tcW w:type="dxa" w:w="3000"/>
            <w:tcBorders>
              <w:top w:val="single" w:color="CCCCCC" w:sz="1"/>
              <w:left w:val="single" w:color="CCCCCC" w:sz="1"/>
              <w:bottom w:val="single" w:color="CCCCCC" w:sz="1"/>
              <w:right w:val="single" w:color="CCCCCC" w:sz="1"/>
            </w:tcBorders>
            <w:shd w:fill="E6F1FB" w:val="clear"/>
            <w:tcMar>
              <w:top w:type="dxa" w:w="80"/>
              <w:left w:type="dxa" w:w="120"/>
              <w:bottom w:type="dxa" w:w="80"/>
              <w:right w:type="dxa" w:w="120"/>
            </w:tcMar>
          </w:tcPr>
          <w:p>
            <w:r>
              <w:rPr>
                <w:rFonts w:ascii="Arial" w:cs="Arial" w:eastAsia="Arial" w:hAnsi="Arial"/>
                <w:b/>
                <w:bCs/>
                <w:color w:val="0D2B5E"/>
                <w:sz w:val="20"/>
                <w:szCs w:val="20"/>
              </w:rPr>
              <w:t xml:space="preserve">Transparency obligations</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74151"/>
                <w:sz w:val="20"/>
                <w:szCs w:val="20"/>
              </w:rPr>
              <w:t xml:space="preserve">Yes (Article 50) — fulfilled through mandatory disclaimers and Trust Center</w:t>
            </w:r>
          </w:p>
        </w:tc>
      </w:tr>
    </w:tbl>
    <w:p>
      <w:pPr>
        <w:spacing w:after="80" w:before="80"/>
      </w:pPr>
    </w:p>
    <w:p>
      <w:pPr>
        <w:pStyle w:val="Heading2"/>
        <w:spacing w:after="80" w:before="280"/>
      </w:pPr>
      <w:r>
        <w:rPr>
          <w:rFonts w:ascii="Arial" w:cs="Arial" w:eastAsia="Arial" w:hAnsi="Arial"/>
          <w:b/>
          <w:bCs/>
          <w:color w:val="0D2B5E"/>
          <w:sz w:val="24"/>
          <w:szCs w:val="24"/>
        </w:rPr>
        <w:t xml:space="preserve">4.1 Obligations applicable to DPO Agent</w:t>
      </w:r>
    </w:p>
    <w:p>
      <w:pPr>
        <w:pStyle w:val="ListParagraph"/>
        <w:numPr>
          <w:ilvl w:val="0"/>
          <w:numId w:val="2"/>
        </w:numPr>
        <w:spacing w:after="40" w:before="40"/>
      </w:pPr>
      <w:r>
        <w:rPr>
          <w:rFonts w:ascii="Arial" w:cs="Arial" w:eastAsia="Arial" w:hAnsi="Arial"/>
          <w:color w:val="374151"/>
          <w:sz w:val="22"/>
          <w:szCs w:val="22"/>
        </w:rPr>
        <w:t xml:space="preserve">Clearly inform users they are interacting with an AI system — ✅ implemented</w:t>
      </w:r>
    </w:p>
    <w:p>
      <w:pPr>
        <w:pStyle w:val="ListParagraph"/>
        <w:numPr>
          <w:ilvl w:val="0"/>
          <w:numId w:val="2"/>
        </w:numPr>
        <w:spacing w:after="40" w:before="40"/>
      </w:pPr>
      <w:r>
        <w:rPr>
          <w:rFonts w:ascii="Arial" w:cs="Arial" w:eastAsia="Arial" w:hAnsi="Arial"/>
          <w:color w:val="374151"/>
          <w:sz w:val="22"/>
          <w:szCs w:val="22"/>
        </w:rPr>
        <w:t xml:space="preserve">Do not generate synthetic content without disclosure — ✅ not applicable</w:t>
      </w:r>
    </w:p>
    <w:p>
      <w:pPr>
        <w:pStyle w:val="ListParagraph"/>
        <w:numPr>
          <w:ilvl w:val="0"/>
          <w:numId w:val="2"/>
        </w:numPr>
        <w:spacing w:after="40" w:before="40"/>
      </w:pPr>
      <w:r>
        <w:rPr>
          <w:rFonts w:ascii="Arial" w:cs="Arial" w:eastAsia="Arial" w:hAnsi="Arial"/>
          <w:color w:val="374151"/>
          <w:sz w:val="22"/>
          <w:szCs w:val="22"/>
        </w:rPr>
        <w:t xml:space="preserve">Maintain transparency about the AI system — ✅ Trust Center published</w:t>
      </w:r>
    </w:p>
    <w:p>
      <w:pPr>
        <w:spacing w:after="80" w:before="80"/>
      </w:pPr>
    </w:p>
    <w:p>
      <w:pPr>
        <w:pBdr>
          <w:bottom w:val="single" w:color="e5e7eb" w:sz="2" w:space="1"/>
        </w:pBdr>
        <w:spacing w:after="200" w:before="200"/>
      </w:pPr>
    </w:p>
    <w:p>
      <w:pPr>
        <w:pStyle w:val="Heading1"/>
        <w:spacing w:after="120" w:before="400"/>
      </w:pPr>
      <w:r>
        <w:rPr>
          <w:rFonts w:ascii="Arial" w:cs="Arial" w:eastAsia="Arial" w:hAnsi="Arial"/>
          <w:b/>
          <w:bCs/>
          <w:color w:val="0D2B5E"/>
          <w:sz w:val="28"/>
          <w:szCs w:val="28"/>
        </w:rPr>
        <w:t xml:space="preserve">5. Note on GPT-4o as a General-Purpose AI Model</w:t>
      </w:r>
    </w:p>
    <w:p>
      <w:pPr>
        <w:spacing w:after="80" w:before="80"/>
      </w:pPr>
      <w:r>
        <w:rPr>
          <w:rFonts w:ascii="Arial" w:cs="Arial" w:eastAsia="Arial" w:hAnsi="Arial"/>
          <w:color w:val="374151"/>
          <w:sz w:val="22"/>
          <w:szCs w:val="22"/>
        </w:rPr>
        <w:t xml:space="preserve">GPT-4o is a general-purpose AI model (GPAI) provided by Microsoft Azure. As a GPAI provider, Microsoft bears obligations under Articles 53-55 of the AI Act. DPO Agent uses GPT-4o as a component in its RAG pipeline. DPO Agent ApS is the deployer of the AI system and assumes deployer obligations under the AI Act, which are fulfilled through the measures described in this document.</w:t>
      </w:r>
    </w:p>
    <w:p>
      <w:pPr>
        <w:spacing w:after="80" w:before="80"/>
      </w:pPr>
    </w:p>
    <w:p>
      <w:pPr>
        <w:pBdr>
          <w:top w:val="single" w:color="CCCCCC" w:sz="1" w:space="1"/>
        </w:pBdr>
        <w:spacing w:after="0" w:before="240"/>
      </w:pPr>
      <w:r>
        <w:rPr>
          <w:rFonts w:ascii="Arial" w:cs="Arial" w:eastAsia="Arial" w:hAnsi="Arial"/>
          <w:i/>
          <w:iCs/>
          <w:color w:val="6b7280"/>
          <w:sz w:val="18"/>
          <w:szCs w:val="18"/>
        </w:rPr>
        <w:t xml:space="preserve">DPO Agent ApS · dpoagent.dk · June 2026 · Confidential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400"/>
      <w:outlineLvl w:val="0"/>
    </w:pPr>
    <w:rPr>
      <w:rFonts w:ascii="Arial" w:cs="Arial" w:eastAsia="Arial" w:hAnsi="Arial"/>
      <w:b/>
      <w:bCs/>
      <w:color w:val="0D2B5E"/>
      <w:sz w:val="28"/>
      <w:szCs w:val="28"/>
    </w:rPr>
  </w:style>
  <w:style w:type="paragraph" w:styleId="Heading2">
    <w:name w:val="Heading 2"/>
    <w:basedOn w:val="Normal"/>
    <w:next w:val="Normal"/>
    <w:qFormat/>
    <w:pPr>
      <w:spacing w:after="80" w:before="280"/>
      <w:outlineLvl w:val="1"/>
    </w:pPr>
    <w:rPr>
      <w:rFonts w:ascii="Arial" w:cs="Arial" w:eastAsia="Arial" w:hAnsi="Arial"/>
      <w:b/>
      <w:bCs/>
      <w:color w:val="0D2B5E"/>
      <w:sz w:val="24"/>
      <w:szCs w:val="24"/>
    </w:rPr>
  </w:style>
  <w:style w:type="paragraph" w:styleId="Heading3">
    <w:name w:val="Heading 3"/>
    <w:basedOn w:val="Normal"/>
    <w:next w:val="Normal"/>
    <w:qFormat/>
    <w:pPr>
      <w:spacing w:after="60" w:before="200"/>
      <w:outlineLvl w:val="2"/>
    </w:pPr>
    <w:rPr>
      <w:rFonts w:ascii="Arial" w:cs="Arial" w:eastAsia="Arial" w:hAnsi="Arial"/>
      <w:b/>
      <w:bCs/>
      <w:color w:val="0D2B5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2026-06-08T04:57:47.137Z</dcterms:created>
  <dcterms:modified xsi:type="dcterms:W3CDTF">2026-06-08T04:57:47.137Z</dcterms:modified>
</cp:coreProperties>
</file>

<file path=docProps/custom.xml><?xml version="1.0" encoding="utf-8"?>
<Properties xmlns="http://schemas.openxmlformats.org/officeDocument/2006/custom-properties" xmlns:vt="http://schemas.openxmlformats.org/officeDocument/2006/docPropsVTypes"/>
</file>